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641" w:rsidRPr="001A7597" w:rsidRDefault="001A7597" w:rsidP="001A7597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bookmarkStart w:id="0" w:name="_GoBack"/>
      <w:r w:rsidRPr="001A7597">
        <w:rPr>
          <w:sz w:val="28"/>
        </w:rPr>
        <w:t>Tombola zum Schulfest</w:t>
      </w:r>
    </w:p>
    <w:bookmarkEnd w:id="0"/>
    <w:p w:rsidR="00C41641" w:rsidRDefault="001A7597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C41641">
        <w:tc>
          <w:tcPr>
            <w:tcW w:w="1247" w:type="dxa"/>
            <w:vAlign w:val="center"/>
          </w:tcPr>
          <w:p w:rsidR="00C41641" w:rsidRDefault="001A7597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41641" w:rsidRDefault="001A7597">
            <w:pPr>
              <w:pStyle w:val="IQB-RSNormal"/>
            </w:pPr>
            <w:r>
              <w:t>90</w:t>
            </w:r>
          </w:p>
        </w:tc>
      </w:tr>
    </w:tbl>
    <w:p w:rsidR="00C41641" w:rsidRDefault="001A7597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538"/>
      </w:tblGrid>
      <w:tr w:rsidR="00C41641">
        <w:tc>
          <w:tcPr>
            <w:tcW w:w="1247" w:type="dxa"/>
            <w:vAlign w:val="center"/>
          </w:tcPr>
          <w:p w:rsidR="00C41641" w:rsidRDefault="001A7597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41641" w:rsidRDefault="001A7597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5256000" cy="1499134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000" cy="1499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C41641" w:rsidRDefault="001A7597">
            <w:pPr>
              <w:pStyle w:val="IQB-RSNormal"/>
            </w:pPr>
            <w:r>
              <w:t>[</w:t>
            </w:r>
            <w:proofErr w:type="spellStart"/>
            <w:r>
              <w:t>Anm</w:t>
            </w:r>
            <w:proofErr w:type="spellEnd"/>
            <w:r>
              <w:t xml:space="preserve">: Auch alle anders angeordneten Streifendiagramme sind richtig, wenn die Streifenbreite den jeweiligen </w:t>
            </w:r>
            <w:proofErr w:type="spellStart"/>
            <w:r>
              <w:t>Losarten</w:t>
            </w:r>
            <w:proofErr w:type="spellEnd"/>
            <w:r>
              <w:t xml:space="preserve"> entspricht:</w:t>
            </w:r>
          </w:p>
          <w:p w:rsidR="00C41641" w:rsidRDefault="001A7597">
            <w:pPr>
              <w:pStyle w:val="IQB-RSNormal"/>
            </w:pPr>
            <w:r>
              <w:t xml:space="preserve">  -  kleine Gewinne/70: Streifenbreite 7 Kästchenlängen </w:t>
            </w:r>
          </w:p>
          <w:p w:rsidR="00C41641" w:rsidRDefault="001A7597">
            <w:pPr>
              <w:pStyle w:val="IQB-RSNormal"/>
            </w:pPr>
            <w:r>
              <w:t xml:space="preserve">  -  mittlere Gewinne/30: Streifenbreite 3 Kästchenlängen</w:t>
            </w:r>
          </w:p>
          <w:p w:rsidR="00C41641" w:rsidRDefault="001A7597">
            <w:pPr>
              <w:pStyle w:val="IQB-RSNormal"/>
            </w:pPr>
            <w:r>
              <w:t xml:space="preserve">  -  Hauptgew</w:t>
            </w:r>
            <w:r>
              <w:t>inne/10: Streifenbreite 1 Kästchenlänge</w:t>
            </w:r>
          </w:p>
          <w:p w:rsidR="00C41641" w:rsidRDefault="001A7597">
            <w:pPr>
              <w:pStyle w:val="IQB-RSNormal"/>
            </w:pPr>
            <w:r>
              <w:t xml:space="preserve">  -  Nieten/90: Streifenbreite 9 Kästchenlängen.]</w:t>
            </w:r>
          </w:p>
        </w:tc>
      </w:tr>
      <w:tr w:rsidR="00C41641">
        <w:tc>
          <w:tcPr>
            <w:tcW w:w="1247" w:type="dxa"/>
            <w:vAlign w:val="center"/>
          </w:tcPr>
          <w:p w:rsidR="00C41641" w:rsidRDefault="001A7597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C41641" w:rsidRDefault="001A7597">
            <w:pPr>
              <w:pStyle w:val="IQB-RSNormal"/>
            </w:pPr>
            <w:r>
              <w:t>Alle anderen Antworten, auch richtige Diagramme ohne Beschriftung.</w:t>
            </w:r>
          </w:p>
        </w:tc>
      </w:tr>
    </w:tbl>
    <w:p w:rsidR="00000000" w:rsidRDefault="001A7597" w:rsidP="001A7597">
      <w:pPr>
        <w:pStyle w:val="IQB-Teilaufgabentitel"/>
      </w:pPr>
    </w:p>
    <w:sectPr w:rsidR="0000000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A7597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41641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D58297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B7C08-E4D5-4C8D-BD7D-416FBE0D5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2024-04-02T08:51:00Z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