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68D" w:rsidRDefault="005305B6">
      <w:pPr>
        <w:pStyle w:val="IQB-Aufgabentitel"/>
      </w:pPr>
      <w:r>
        <w:t>Schulkleidung</w:t>
      </w:r>
    </w:p>
    <w:p w:rsidR="0073068D" w:rsidRDefault="00E2218E">
      <w:pPr>
        <w:pStyle w:val="IQB-Teilaufgabentitel"/>
      </w:pPr>
      <w:r>
        <w:t>Teilaufgabe 1:</w:t>
      </w:r>
    </w:p>
    <w:tbl>
      <w:tblPr>
        <w:tblW w:w="9628"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03"/>
        <w:gridCol w:w="8425"/>
      </w:tblGrid>
      <w:tr w:rsidR="005305B6" w:rsidTr="005305B6">
        <w:tc>
          <w:tcPr>
            <w:tcW w:w="1179" w:type="dxa"/>
            <w:vAlign w:val="center"/>
          </w:tcPr>
          <w:p w:rsidR="005305B6" w:rsidRDefault="005305B6" w:rsidP="005305B6">
            <w:pPr>
              <w:pStyle w:val="IQB-RSCodeValue"/>
            </w:pPr>
            <w:r>
              <w:t>RICHTIG</w:t>
            </w:r>
          </w:p>
        </w:tc>
        <w:tc>
          <w:tcPr>
            <w:tcW w:w="8449" w:type="dxa"/>
          </w:tcPr>
          <w:p w:rsidR="005305B6" w:rsidRDefault="005305B6" w:rsidP="005305B6">
            <w:pPr>
              <w:pStyle w:val="IQB-RSNormal"/>
            </w:pPr>
            <w:r>
              <w:t xml:space="preserve">Ein Säulendiagramm ist gezeichnet, </w:t>
            </w:r>
            <w:proofErr w:type="spellStart"/>
            <w:r>
              <w:t>in dem</w:t>
            </w:r>
            <w:proofErr w:type="spellEnd"/>
            <w:r>
              <w:t>:</w:t>
            </w:r>
          </w:p>
          <w:p w:rsidR="005305B6" w:rsidRPr="000A6296" w:rsidRDefault="005305B6" w:rsidP="005305B6">
            <w:pPr>
              <w:pStyle w:val="IQB-RSExample"/>
              <w:keepNext/>
              <w:keepLines/>
              <w:numPr>
                <w:ilvl w:val="0"/>
                <w:numId w:val="4"/>
              </w:numPr>
              <w:spacing w:before="0"/>
              <w:ind w:left="284" w:hanging="284"/>
            </w:pPr>
            <w:r w:rsidRPr="000A6296">
              <w:t>die drei Säulen für "ja", "nein" und "keine Angaben" in demselben Maßstab gezeichnet sind und jeweils die richtige Höhe haben,</w:t>
            </w:r>
          </w:p>
          <w:p w:rsidR="005305B6" w:rsidRPr="000A6296" w:rsidRDefault="005305B6" w:rsidP="005305B6">
            <w:pPr>
              <w:pStyle w:val="IQB-RSExample"/>
              <w:keepNext/>
              <w:keepLines/>
              <w:numPr>
                <w:ilvl w:val="0"/>
                <w:numId w:val="4"/>
              </w:numPr>
              <w:spacing w:before="0"/>
              <w:ind w:left="284" w:hanging="284"/>
            </w:pPr>
            <w:r w:rsidRPr="000A6296">
              <w:t>die Säulen bzw. die Hochachse nachvollziehbar beschriftet ist (auf der Hochachse genügt dabei die Angabe eines Wert</w:t>
            </w:r>
            <w:bookmarkStart w:id="0" w:name="_GoBack"/>
            <w:bookmarkEnd w:id="0"/>
            <w:r w:rsidRPr="000A6296">
              <w:t>es)</w:t>
            </w:r>
          </w:p>
          <w:p w:rsidR="005305B6" w:rsidRDefault="005305B6" w:rsidP="005305B6">
            <w:pPr>
              <w:pStyle w:val="IQB-RSNormal"/>
            </w:pPr>
            <w:r>
              <w:t xml:space="preserve">[Anm.: 658 der Befragten haben keine Angaben gemacht (Auch: 3,7 % von 17812 </w:t>
            </w:r>
            <w:r>
              <w:sym w:font="Symbol" w:char="00BB"/>
            </w:r>
            <w:r>
              <w:t xml:space="preserve"> 659 wird akzeptiert.). Im Säulendiagramm können Absolut- oder Prozentangaben dargestellt werden. Die Angabe der Überschrift des Diagramms ist nicht zwingend erforderlich.]</w:t>
            </w:r>
          </w:p>
          <w:p w:rsidR="005305B6" w:rsidRDefault="005305B6" w:rsidP="005305B6"/>
          <w:p w:rsidR="005305B6" w:rsidRDefault="005305B6" w:rsidP="005305B6">
            <w:pPr>
              <w:pStyle w:val="IQB-RSNormal"/>
            </w:pPr>
            <w:r>
              <w:t>Beispiel</w:t>
            </w:r>
            <w:r>
              <w:t>(e)</w:t>
            </w:r>
          </w:p>
          <w:p w:rsidR="005305B6" w:rsidRPr="005305B6" w:rsidRDefault="005305B6" w:rsidP="005305B6">
            <w:pPr>
              <w:pStyle w:val="IQB-RSExample"/>
              <w:keepNext/>
              <w:keepLines/>
              <w:numPr>
                <w:ilvl w:val="0"/>
                <w:numId w:val="4"/>
              </w:numPr>
              <w:spacing w:before="0"/>
              <w:ind w:left="284" w:hanging="284"/>
              <w:rPr>
                <w:i/>
              </w:rPr>
            </w:pPr>
            <w:r w:rsidRPr="005305B6">
              <w:rPr>
                <w:i/>
              </w:rPr>
              <w:t>Mit absoluten Zahlen:</w:t>
            </w:r>
          </w:p>
          <w:p w:rsidR="005305B6" w:rsidRDefault="005305B6" w:rsidP="005305B6">
            <w:pPr>
              <w:pStyle w:val="IQB-RSNormal"/>
            </w:pPr>
            <w:r>
              <w:rPr>
                <w:noProof/>
              </w:rPr>
              <w:drawing>
                <wp:inline distT="0" distB="0" distL="0" distR="0" wp14:anchorId="43BF3867" wp14:editId="19E3A89A">
                  <wp:extent cx="3019647" cy="1995755"/>
                  <wp:effectExtent l="0" t="0" r="0" b="5080"/>
                  <wp:docPr id="9" name="Inline Text Wrapping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r="43321"/>
                          <a:stretch/>
                        </pic:blipFill>
                        <pic:spPr bwMode="auto">
                          <a:xfrm>
                            <a:off x="0" y="0"/>
                            <a:ext cx="3019845" cy="199588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rsidR="005305B6" w:rsidRPr="005305B6" w:rsidRDefault="005305B6" w:rsidP="005305B6">
            <w:pPr>
              <w:pStyle w:val="IQB-RSExample"/>
              <w:keepNext/>
              <w:keepLines/>
              <w:numPr>
                <w:ilvl w:val="0"/>
                <w:numId w:val="4"/>
              </w:numPr>
              <w:spacing w:before="0"/>
              <w:ind w:left="284" w:hanging="284"/>
              <w:rPr>
                <w:i/>
              </w:rPr>
            </w:pPr>
            <w:r w:rsidRPr="005305B6">
              <w:rPr>
                <w:i/>
              </w:rPr>
              <w:t xml:space="preserve">Mit Prozent: </w:t>
            </w:r>
          </w:p>
          <w:p w:rsidR="005305B6" w:rsidRDefault="005305B6" w:rsidP="005305B6">
            <w:pPr>
              <w:pStyle w:val="IQB-RSNormal"/>
            </w:pPr>
            <w:r>
              <w:rPr>
                <w:noProof/>
              </w:rPr>
              <w:drawing>
                <wp:inline distT="0" distB="0" distL="0" distR="0" wp14:anchorId="4DC7E5F9" wp14:editId="08CE6CFC">
                  <wp:extent cx="3094074" cy="1902460"/>
                  <wp:effectExtent l="0" t="0" r="0" b="2540"/>
                  <wp:docPr id="10" name="Inline Text Wrapping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r="41916"/>
                          <a:stretch/>
                        </pic:blipFill>
                        <pic:spPr bwMode="auto">
                          <a:xfrm>
                            <a:off x="0" y="0"/>
                            <a:ext cx="3094720" cy="1902857"/>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rsidR="005305B6" w:rsidRPr="005305B6" w:rsidRDefault="005305B6" w:rsidP="005305B6">
            <w:pPr>
              <w:pStyle w:val="IQB-RSNormal"/>
              <w:rPr>
                <w:i/>
              </w:rPr>
            </w:pPr>
            <w:r w:rsidRPr="005305B6">
              <w:rPr>
                <w:i/>
              </w:rPr>
              <w:t>Grenzfälle</w:t>
            </w:r>
          </w:p>
          <w:p w:rsidR="005305B6" w:rsidRPr="005305B6" w:rsidRDefault="005305B6" w:rsidP="005305B6">
            <w:pPr>
              <w:pStyle w:val="IQB-RSExample"/>
              <w:keepNext/>
              <w:keepLines/>
              <w:numPr>
                <w:ilvl w:val="0"/>
                <w:numId w:val="4"/>
              </w:numPr>
              <w:spacing w:before="0"/>
              <w:ind w:left="284" w:hanging="284"/>
              <w:rPr>
                <w:i/>
              </w:rPr>
            </w:pPr>
            <w:r w:rsidRPr="005305B6">
              <w:rPr>
                <w:i/>
              </w:rPr>
              <w:t>Statt eines Säulen- wird ein Balkendiagramm gezeichnet (waagerechte Ausrichtung der drei Säulen).</w:t>
            </w:r>
          </w:p>
          <w:p w:rsidR="005305B6" w:rsidRPr="005305B6" w:rsidRDefault="005305B6" w:rsidP="005305B6">
            <w:pPr>
              <w:pStyle w:val="IQB-RSExample"/>
              <w:keepNext/>
              <w:keepLines/>
              <w:numPr>
                <w:ilvl w:val="0"/>
                <w:numId w:val="4"/>
              </w:numPr>
              <w:spacing w:before="0"/>
              <w:ind w:left="284" w:hanging="284"/>
              <w:rPr>
                <w:i/>
              </w:rPr>
            </w:pPr>
            <w:r w:rsidRPr="005305B6">
              <w:rPr>
                <w:i/>
              </w:rPr>
              <w:t>Statt Säulen werden Striche gezeichnet.</w:t>
            </w:r>
          </w:p>
          <w:p w:rsidR="005305B6" w:rsidRPr="000A6296" w:rsidRDefault="005305B6" w:rsidP="005305B6">
            <w:pPr>
              <w:pStyle w:val="IQB-RSExample"/>
              <w:keepNext/>
              <w:keepLines/>
              <w:numPr>
                <w:ilvl w:val="0"/>
                <w:numId w:val="4"/>
              </w:numPr>
              <w:spacing w:before="0"/>
              <w:ind w:left="284" w:hanging="284"/>
            </w:pPr>
            <w:r w:rsidRPr="005305B6">
              <w:rPr>
                <w:i/>
              </w:rPr>
              <w:t>Nur zwei von drei Säulen werden beschriftet.</w:t>
            </w:r>
          </w:p>
        </w:tc>
      </w:tr>
      <w:tr w:rsidR="005305B6" w:rsidTr="005305B6">
        <w:tc>
          <w:tcPr>
            <w:tcW w:w="1179" w:type="dxa"/>
            <w:vAlign w:val="center"/>
          </w:tcPr>
          <w:p w:rsidR="005305B6" w:rsidRDefault="005305B6" w:rsidP="005305B6">
            <w:pPr>
              <w:pStyle w:val="IQB-RSCodeValue"/>
            </w:pPr>
            <w:r>
              <w:t>FALSCH</w:t>
            </w:r>
          </w:p>
        </w:tc>
        <w:tc>
          <w:tcPr>
            <w:tcW w:w="8449" w:type="dxa"/>
          </w:tcPr>
          <w:p w:rsidR="005305B6" w:rsidRDefault="005305B6" w:rsidP="005305B6">
            <w:pPr>
              <w:pStyle w:val="IQB-RSNormal"/>
            </w:pPr>
            <w:r>
              <w:t>Alle anderen Antworten</w:t>
            </w:r>
          </w:p>
          <w:p w:rsidR="005305B6" w:rsidRDefault="005305B6" w:rsidP="005305B6"/>
          <w:p w:rsidR="005305B6" w:rsidRDefault="005305B6" w:rsidP="005305B6">
            <w:pPr>
              <w:pStyle w:val="IQB-RSNormal"/>
            </w:pPr>
            <w:r>
              <w:t>Beispiel</w:t>
            </w:r>
            <w:r>
              <w:t>(e)</w:t>
            </w:r>
          </w:p>
          <w:p w:rsidR="005305B6" w:rsidRPr="005305B6" w:rsidRDefault="005305B6" w:rsidP="005305B6">
            <w:pPr>
              <w:pStyle w:val="IQB-RSExample"/>
              <w:keepNext/>
              <w:keepLines/>
              <w:numPr>
                <w:ilvl w:val="0"/>
                <w:numId w:val="4"/>
              </w:numPr>
              <w:spacing w:before="0"/>
              <w:ind w:left="284" w:hanging="284"/>
              <w:rPr>
                <w:i/>
              </w:rPr>
            </w:pPr>
            <w:r w:rsidRPr="005305B6">
              <w:rPr>
                <w:i/>
              </w:rPr>
              <w:lastRenderedPageBreak/>
              <w:t>Eine Säule wird nicht dargestellt.</w:t>
            </w:r>
          </w:p>
          <w:p w:rsidR="005305B6" w:rsidRPr="005305B6" w:rsidRDefault="005305B6" w:rsidP="005305B6">
            <w:pPr>
              <w:pStyle w:val="IQB-RSExample"/>
              <w:keepNext/>
              <w:keepLines/>
              <w:numPr>
                <w:ilvl w:val="0"/>
                <w:numId w:val="4"/>
              </w:numPr>
              <w:spacing w:before="0"/>
              <w:ind w:left="284" w:hanging="284"/>
              <w:rPr>
                <w:i/>
              </w:rPr>
            </w:pPr>
            <w:r w:rsidRPr="005305B6">
              <w:rPr>
                <w:i/>
              </w:rPr>
              <w:t>Jegliche Beschriftung fehlt.</w:t>
            </w:r>
          </w:p>
          <w:p w:rsidR="005305B6" w:rsidRPr="005305B6" w:rsidRDefault="005305B6" w:rsidP="005305B6">
            <w:pPr>
              <w:pStyle w:val="IQB-RSExample"/>
              <w:keepNext/>
              <w:keepLines/>
              <w:numPr>
                <w:ilvl w:val="0"/>
                <w:numId w:val="4"/>
              </w:numPr>
              <w:spacing w:before="0"/>
              <w:ind w:left="284" w:hanging="284"/>
              <w:rPr>
                <w:i/>
              </w:rPr>
            </w:pPr>
            <w:r w:rsidRPr="005305B6">
              <w:rPr>
                <w:i/>
              </w:rPr>
              <w:t>Der Maßstab der drei Säulen stimmt nicht überein.</w:t>
            </w:r>
          </w:p>
          <w:p w:rsidR="005305B6" w:rsidRPr="000A6296" w:rsidRDefault="005305B6" w:rsidP="005305B6">
            <w:pPr>
              <w:pStyle w:val="IQB-RSExample"/>
              <w:keepNext/>
              <w:keepLines/>
              <w:numPr>
                <w:ilvl w:val="0"/>
                <w:numId w:val="4"/>
              </w:numPr>
              <w:spacing w:before="0"/>
              <w:ind w:left="284" w:hanging="284"/>
            </w:pPr>
            <w:r w:rsidRPr="005305B6">
              <w:rPr>
                <w:i/>
              </w:rPr>
              <w:t>Statt eines Säulen- wird ein Streifendiagramm gezeichnet.</w:t>
            </w:r>
          </w:p>
        </w:tc>
      </w:tr>
    </w:tbl>
    <w:p w:rsidR="0073068D" w:rsidRDefault="00E2218E">
      <w:pPr>
        <w:pStyle w:val="IQB-Teilaufgabentitel"/>
      </w:pPr>
      <w:r>
        <w:lastRenderedPageBreak/>
        <w:t>Teilaufgabe 2:</w:t>
      </w:r>
    </w:p>
    <w:tbl>
      <w:tblPr>
        <w:tblW w:w="9764"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03"/>
        <w:gridCol w:w="8561"/>
      </w:tblGrid>
      <w:tr w:rsidR="005305B6" w:rsidTr="0072701C">
        <w:tc>
          <w:tcPr>
            <w:tcW w:w="1203" w:type="dxa"/>
            <w:vAlign w:val="center"/>
          </w:tcPr>
          <w:p w:rsidR="005305B6" w:rsidRDefault="005305B6" w:rsidP="005305B6">
            <w:pPr>
              <w:pStyle w:val="IQB-RSCodeValue"/>
            </w:pPr>
            <w:r>
              <w:t>RICHTIG</w:t>
            </w:r>
          </w:p>
        </w:tc>
        <w:tc>
          <w:tcPr>
            <w:tcW w:w="8561" w:type="dxa"/>
          </w:tcPr>
          <w:p w:rsidR="005305B6" w:rsidRDefault="005305B6" w:rsidP="005305B6">
            <w:pPr>
              <w:pStyle w:val="IQB-RSNormal"/>
            </w:pPr>
            <w:r>
              <w:t>Eine Erläuterung, in der herausgestellt wird, dass sich die Prozentangaben nur auf die Höhe beziehen, aber durch die Darstellung als Dreieck der untere Teil der Figur (das Trapez) optisch stärker betont wird.</w:t>
            </w:r>
          </w:p>
          <w:p w:rsidR="005305B6" w:rsidRDefault="005305B6" w:rsidP="005305B6"/>
          <w:p w:rsidR="005305B6" w:rsidRDefault="005305B6" w:rsidP="005305B6">
            <w:pPr>
              <w:pStyle w:val="IQB-RSNormal"/>
            </w:pPr>
            <w:r>
              <w:t>[Anm.: Die Lösung ist auch richtig, wenn analog mit der oberen kleineren Teilfläche argumentiert wird. Ebenso ist auch eine räumliche Interpretation der Figur (z. B. als Pyramide) zulässig.]</w:t>
            </w:r>
          </w:p>
          <w:p w:rsidR="005305B6" w:rsidRDefault="005305B6" w:rsidP="005305B6"/>
          <w:p w:rsidR="005305B6" w:rsidRDefault="005305B6" w:rsidP="005305B6">
            <w:pPr>
              <w:pStyle w:val="IQB-RSNormal"/>
            </w:pPr>
            <w:r>
              <w:t>Beispiel</w:t>
            </w:r>
            <w:r>
              <w:t>(e)</w:t>
            </w:r>
          </w:p>
          <w:p w:rsidR="005305B6" w:rsidRPr="005305B6" w:rsidRDefault="005305B6" w:rsidP="005305B6">
            <w:pPr>
              <w:pStyle w:val="IQB-RSExample"/>
              <w:keepNext/>
              <w:keepLines/>
              <w:numPr>
                <w:ilvl w:val="0"/>
                <w:numId w:val="4"/>
              </w:numPr>
              <w:spacing w:before="0"/>
              <w:ind w:left="284" w:hanging="284"/>
              <w:rPr>
                <w:i/>
              </w:rPr>
            </w:pPr>
            <w:r w:rsidRPr="005305B6">
              <w:rPr>
                <w:i/>
              </w:rPr>
              <w:t xml:space="preserve">Zwar entsprechen die Höhen der beiden Teilfiguren (Dreieck und Trapez) den Umfrageergebnissen, die Flächeninhalte jedoch nicht. Der Flächeninhalt des Trapezes ist größer, so dass man leicht denken kann, dass die Antwort "nein" deutlich überwiegt. </w:t>
            </w:r>
          </w:p>
          <w:p w:rsidR="005305B6" w:rsidRPr="005305B6" w:rsidRDefault="005305B6" w:rsidP="005305B6">
            <w:pPr>
              <w:pStyle w:val="IQB-RSExample"/>
              <w:keepNext/>
              <w:keepLines/>
              <w:numPr>
                <w:ilvl w:val="0"/>
                <w:numId w:val="4"/>
              </w:numPr>
              <w:spacing w:before="0"/>
              <w:ind w:left="284" w:hanging="284"/>
              <w:rPr>
                <w:i/>
              </w:rPr>
            </w:pPr>
            <w:r w:rsidRPr="005305B6">
              <w:rPr>
                <w:i/>
              </w:rPr>
              <w:t>Das Dreieck ist unten breiter, deshalb sieht es so aus, als ob das Dunkle mehr wäre. Oben wird es schmaler und das Helle sieht weniger aus.</w:t>
            </w:r>
          </w:p>
          <w:p w:rsidR="005305B6" w:rsidRPr="005305B6" w:rsidRDefault="005305B6" w:rsidP="005305B6">
            <w:pPr>
              <w:pStyle w:val="IQB-RSExample"/>
              <w:keepNext/>
              <w:keepLines/>
              <w:numPr>
                <w:ilvl w:val="0"/>
                <w:numId w:val="4"/>
              </w:numPr>
              <w:spacing w:before="0"/>
              <w:ind w:left="284" w:hanging="284"/>
              <w:rPr>
                <w:i/>
              </w:rPr>
            </w:pPr>
            <w:r w:rsidRPr="005305B6">
              <w:rPr>
                <w:i/>
              </w:rPr>
              <w:t>Sie hat "nein" als Unterteil des Dreiecks genommen, welches dann breiter und auffälliger ist.</w:t>
            </w:r>
          </w:p>
          <w:p w:rsidR="005305B6" w:rsidRPr="005305B6" w:rsidRDefault="005305B6" w:rsidP="005305B6">
            <w:pPr>
              <w:pStyle w:val="IQB-RSExample"/>
              <w:keepNext/>
              <w:keepLines/>
              <w:numPr>
                <w:ilvl w:val="0"/>
                <w:numId w:val="4"/>
              </w:numPr>
              <w:spacing w:before="0"/>
              <w:ind w:left="284" w:hanging="284"/>
              <w:rPr>
                <w:i/>
              </w:rPr>
            </w:pPr>
            <w:r w:rsidRPr="005305B6">
              <w:rPr>
                <w:i/>
              </w:rPr>
              <w:t>Sie hat den unteren Teil der "Säule" breiter dargestellt, der dadurch größer wirkt.</w:t>
            </w:r>
          </w:p>
          <w:p w:rsidR="005305B6" w:rsidRPr="005305B6" w:rsidRDefault="005305B6" w:rsidP="005305B6">
            <w:pPr>
              <w:pStyle w:val="IQB-RSExample"/>
              <w:keepNext/>
              <w:keepLines/>
              <w:numPr>
                <w:ilvl w:val="0"/>
                <w:numId w:val="4"/>
              </w:numPr>
              <w:spacing w:before="0"/>
              <w:ind w:left="284" w:hanging="284"/>
              <w:rPr>
                <w:i/>
              </w:rPr>
            </w:pPr>
            <w:r w:rsidRPr="005305B6">
              <w:rPr>
                <w:i/>
              </w:rPr>
              <w:t>Weil die Pyramide unten sehr dick und breit ist, sieht das aus, als ob sehr viele Schüler dagegen sind.</w:t>
            </w:r>
          </w:p>
          <w:p w:rsidR="005305B6" w:rsidRPr="005305B6" w:rsidRDefault="005305B6" w:rsidP="005305B6">
            <w:pPr>
              <w:pStyle w:val="IQB-RSNormal"/>
              <w:rPr>
                <w:i/>
              </w:rPr>
            </w:pPr>
            <w:r w:rsidRPr="005305B6">
              <w:rPr>
                <w:i/>
              </w:rPr>
              <w:t>Grenzfälle</w:t>
            </w:r>
          </w:p>
          <w:p w:rsidR="005305B6" w:rsidRPr="005305B6" w:rsidRDefault="005305B6" w:rsidP="005305B6">
            <w:pPr>
              <w:pStyle w:val="IQB-RSExample"/>
              <w:keepNext/>
              <w:keepLines/>
              <w:numPr>
                <w:ilvl w:val="0"/>
                <w:numId w:val="4"/>
              </w:numPr>
              <w:spacing w:before="0"/>
              <w:ind w:left="284" w:hanging="284"/>
              <w:rPr>
                <w:i/>
              </w:rPr>
            </w:pPr>
            <w:r w:rsidRPr="005305B6">
              <w:rPr>
                <w:i/>
              </w:rPr>
              <w:t>Weil das unten mehr aussieht.</w:t>
            </w:r>
          </w:p>
          <w:p w:rsidR="005305B6" w:rsidRPr="005305B6" w:rsidRDefault="005305B6" w:rsidP="005305B6">
            <w:pPr>
              <w:pStyle w:val="IQB-RSExample"/>
              <w:keepNext/>
              <w:keepLines/>
              <w:numPr>
                <w:ilvl w:val="0"/>
                <w:numId w:val="4"/>
              </w:numPr>
              <w:spacing w:before="0"/>
              <w:ind w:left="284" w:hanging="284"/>
              <w:rPr>
                <w:i/>
              </w:rPr>
            </w:pPr>
            <w:r w:rsidRPr="005305B6">
              <w:rPr>
                <w:i/>
              </w:rPr>
              <w:t>Weil die Fläche für "nein" größer ist.</w:t>
            </w:r>
          </w:p>
          <w:p w:rsidR="005305B6" w:rsidRPr="005305B6" w:rsidRDefault="005305B6" w:rsidP="005305B6">
            <w:pPr>
              <w:pStyle w:val="IQB-RSExample"/>
              <w:keepNext/>
              <w:keepLines/>
              <w:numPr>
                <w:ilvl w:val="0"/>
                <w:numId w:val="4"/>
              </w:numPr>
              <w:spacing w:before="0"/>
              <w:ind w:left="284" w:hanging="284"/>
              <w:rPr>
                <w:i/>
              </w:rPr>
            </w:pPr>
            <w:r w:rsidRPr="005305B6">
              <w:rPr>
                <w:i/>
              </w:rPr>
              <w:t>Lisas Position wird durch die unterschiedlich großen Flächeninhalte beider Teilfiguren verdeutlicht.</w:t>
            </w:r>
          </w:p>
          <w:p w:rsidR="005305B6" w:rsidRPr="000A6296" w:rsidRDefault="005305B6" w:rsidP="005305B6">
            <w:pPr>
              <w:pStyle w:val="IQB-RSExample"/>
              <w:keepNext/>
              <w:keepLines/>
              <w:numPr>
                <w:ilvl w:val="0"/>
                <w:numId w:val="4"/>
              </w:numPr>
              <w:spacing w:before="0"/>
              <w:ind w:left="284" w:hanging="284"/>
            </w:pPr>
            <w:r w:rsidRPr="005305B6">
              <w:rPr>
                <w:i/>
              </w:rPr>
              <w:t>Sie hat für die Prozentzahl für "nein" die untere Hälfte der Pyramide gewählt, so sieht es mehr aus, weil es mehr Volumen hat.</w:t>
            </w:r>
          </w:p>
        </w:tc>
      </w:tr>
      <w:tr w:rsidR="005305B6" w:rsidTr="0072701C">
        <w:tc>
          <w:tcPr>
            <w:tcW w:w="1203" w:type="dxa"/>
            <w:vAlign w:val="center"/>
          </w:tcPr>
          <w:p w:rsidR="005305B6" w:rsidRDefault="005305B6" w:rsidP="005305B6">
            <w:pPr>
              <w:pStyle w:val="IQB-RSCodeValue"/>
            </w:pPr>
            <w:r>
              <w:t>FALSCH</w:t>
            </w:r>
          </w:p>
        </w:tc>
        <w:tc>
          <w:tcPr>
            <w:tcW w:w="8561" w:type="dxa"/>
          </w:tcPr>
          <w:p w:rsidR="005305B6" w:rsidRDefault="005305B6" w:rsidP="005305B6">
            <w:pPr>
              <w:pStyle w:val="IQB-RSNormal"/>
            </w:pPr>
            <w:r>
              <w:t>Alle unvollständigen, fehlerhaften oder falschen Antworten.</w:t>
            </w:r>
          </w:p>
          <w:p w:rsidR="005305B6" w:rsidRDefault="005305B6" w:rsidP="005305B6"/>
          <w:p w:rsidR="005305B6" w:rsidRDefault="005305B6" w:rsidP="005305B6">
            <w:pPr>
              <w:pStyle w:val="IQB-RSNormal"/>
            </w:pPr>
            <w:r>
              <w:t>Beispiel</w:t>
            </w:r>
            <w:r>
              <w:t>(e)</w:t>
            </w:r>
          </w:p>
          <w:p w:rsidR="005305B6" w:rsidRPr="005305B6" w:rsidRDefault="005305B6" w:rsidP="005305B6">
            <w:pPr>
              <w:pStyle w:val="IQB-RSExample"/>
              <w:keepNext/>
              <w:keepLines/>
              <w:numPr>
                <w:ilvl w:val="0"/>
                <w:numId w:val="4"/>
              </w:numPr>
              <w:spacing w:before="0"/>
              <w:ind w:left="284" w:hanging="284"/>
              <w:rPr>
                <w:i/>
              </w:rPr>
            </w:pPr>
            <w:r w:rsidRPr="005305B6">
              <w:rPr>
                <w:i/>
              </w:rPr>
              <w:t>Die beiden Teilfiguren entsprechen nicht den Umfragedaten.</w:t>
            </w:r>
          </w:p>
          <w:p w:rsidR="005305B6" w:rsidRPr="005305B6" w:rsidRDefault="005305B6" w:rsidP="005305B6">
            <w:pPr>
              <w:pStyle w:val="IQB-RSExample"/>
              <w:keepNext/>
              <w:keepLines/>
              <w:numPr>
                <w:ilvl w:val="0"/>
                <w:numId w:val="4"/>
              </w:numPr>
              <w:spacing w:before="0"/>
              <w:ind w:left="284" w:hanging="284"/>
              <w:rPr>
                <w:i/>
              </w:rPr>
            </w:pPr>
            <w:r w:rsidRPr="005305B6">
              <w:rPr>
                <w:i/>
              </w:rPr>
              <w:t>Lisa wählt verschiedene Farben. Der dunklere Ton tritt deutlicher hervor.</w:t>
            </w:r>
          </w:p>
          <w:p w:rsidR="005305B6" w:rsidRPr="005305B6" w:rsidRDefault="005305B6" w:rsidP="005305B6">
            <w:pPr>
              <w:pStyle w:val="IQB-RSExample"/>
              <w:keepNext/>
              <w:keepLines/>
              <w:numPr>
                <w:ilvl w:val="0"/>
                <w:numId w:val="4"/>
              </w:numPr>
              <w:spacing w:before="0"/>
              <w:ind w:left="284" w:hanging="284"/>
              <w:rPr>
                <w:i/>
              </w:rPr>
            </w:pPr>
            <w:r w:rsidRPr="005305B6">
              <w:rPr>
                <w:i/>
              </w:rPr>
              <w:t>Sie hat das Dreieck in zwei Teile geteilt. Der helle Teil soll "ja" bedeuten, der dunkle "nein".</w:t>
            </w:r>
          </w:p>
          <w:p w:rsidR="005305B6" w:rsidRPr="005305B6" w:rsidRDefault="005305B6" w:rsidP="005305B6">
            <w:pPr>
              <w:pStyle w:val="IQB-RSExample"/>
              <w:keepNext/>
              <w:keepLines/>
              <w:numPr>
                <w:ilvl w:val="0"/>
                <w:numId w:val="4"/>
              </w:numPr>
              <w:spacing w:before="0"/>
              <w:ind w:left="284" w:hanging="284"/>
              <w:rPr>
                <w:i/>
              </w:rPr>
            </w:pPr>
            <w:r w:rsidRPr="005305B6">
              <w:rPr>
                <w:i/>
              </w:rPr>
              <w:t>"Nein" wird betont, weil sie es nach unten gestellt hat.</w:t>
            </w:r>
          </w:p>
          <w:p w:rsidR="005305B6" w:rsidRPr="005305B6" w:rsidRDefault="005305B6" w:rsidP="005305B6">
            <w:pPr>
              <w:pStyle w:val="IQB-RSExample"/>
              <w:keepNext/>
              <w:keepLines/>
              <w:numPr>
                <w:ilvl w:val="0"/>
                <w:numId w:val="4"/>
              </w:numPr>
              <w:spacing w:before="0"/>
              <w:ind w:left="284" w:hanging="284"/>
              <w:rPr>
                <w:i/>
              </w:rPr>
            </w:pPr>
            <w:r w:rsidRPr="005305B6">
              <w:rPr>
                <w:i/>
              </w:rPr>
              <w:t>Sie hat ihre Meinung in Prozenten dargestellt.</w:t>
            </w:r>
          </w:p>
          <w:p w:rsidR="005305B6" w:rsidRPr="000A6296" w:rsidRDefault="005305B6" w:rsidP="005305B6">
            <w:pPr>
              <w:pStyle w:val="IQB-RSExample"/>
              <w:keepNext/>
              <w:keepLines/>
              <w:numPr>
                <w:ilvl w:val="0"/>
                <w:numId w:val="4"/>
              </w:numPr>
              <w:spacing w:before="0"/>
              <w:ind w:left="284" w:hanging="284"/>
            </w:pPr>
            <w:r w:rsidRPr="005305B6">
              <w:rPr>
                <w:i/>
              </w:rPr>
              <w:t>Sie zeigt, dass nicht 100 % an der Befragung teilgenommen haben und deshalb nicht genau gesagt werden kann, wer will und wer nicht.</w:t>
            </w:r>
          </w:p>
        </w:tc>
      </w:tr>
    </w:tbl>
    <w:p w:rsidR="00E662E6" w:rsidRDefault="00E662E6"/>
    <w:sectPr w:rsidR="00E662E6"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00FB" w:rsidRDefault="002800FB" w:rsidP="005E2C46">
      <w:r>
        <w:separator/>
      </w:r>
    </w:p>
  </w:endnote>
  <w:endnote w:type="continuationSeparator" w:id="0">
    <w:p w:rsidR="002800FB" w:rsidRDefault="002800FB"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1" w:fontKey="{082F167D-8264-4CA4-A6C5-3D4607F8EFCD}"/>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embedRegular r:id="rId2" w:fontKey="{E27450AC-98E1-4877-A41C-3F2200516A3F}"/>
    <w:embedBold r:id="rId3" w:fontKey="{FD0B1C5A-0371-48D9-921A-266663506E45}"/>
    <w:embedItalic r:id="rId4" w:fontKey="{B34EDE54-C7B4-4BE1-B2F1-2CAA3ED35B88}"/>
    <w:embedBoldItalic r:id="rId5" w:fontKey="{D2117439-F415-4078-81D1-21C1E0278EE8}"/>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panose1 w:val="00000000000000000000"/>
    <w:charset w:val="00"/>
    <w:family w:val="modern"/>
    <w:notTrueType/>
    <w:pitch w:val="fixed"/>
    <w:sig w:usb0="00000003" w:usb1="00000000" w:usb2="00000000" w:usb3="00000000" w:csb0="00000001"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00FB" w:rsidRDefault="002800FB" w:rsidP="005E2C46">
      <w:r>
        <w:separator/>
      </w:r>
    </w:p>
  </w:footnote>
  <w:footnote w:type="continuationSeparator" w:id="0">
    <w:p w:rsidR="002800FB" w:rsidRDefault="002800FB"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D2F" w:rsidRDefault="001D0D2F">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046F" w:rsidRDefault="005F046F">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4" name="Grafik 4"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30352FAD"/>
    <w:multiLevelType w:val="hybridMultilevel"/>
    <w:tmpl w:val="6624E482"/>
    <w:lvl w:ilvl="0" w:tplc="01986904">
      <w:start w:val="1"/>
      <w:numFmt w:val="bullet"/>
      <w:lvlText w:val="·"/>
      <w:lvlJc w:val="left"/>
      <w:pPr>
        <w:ind w:left="720" w:hanging="360"/>
      </w:pPr>
      <w:rPr>
        <w:rFonts w:ascii="SimSun" w:eastAsia="SimSun" w:hAnsi="SimSun" w:hint="eastAsi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C65C734A"/>
    <w:lvl w:ilvl="0" w:tplc="53D6A35C">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442E9"/>
    <w:rsid w:val="00083727"/>
    <w:rsid w:val="00090346"/>
    <w:rsid w:val="000D4117"/>
    <w:rsid w:val="000D5D22"/>
    <w:rsid w:val="000D6068"/>
    <w:rsid w:val="000E70CA"/>
    <w:rsid w:val="00104280"/>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800FB"/>
    <w:rsid w:val="00296BA4"/>
    <w:rsid w:val="002D1B6E"/>
    <w:rsid w:val="002F756E"/>
    <w:rsid w:val="00304067"/>
    <w:rsid w:val="00304DCD"/>
    <w:rsid w:val="003375B2"/>
    <w:rsid w:val="00374ED9"/>
    <w:rsid w:val="003A1C8B"/>
    <w:rsid w:val="003A496B"/>
    <w:rsid w:val="003C7D61"/>
    <w:rsid w:val="003D7948"/>
    <w:rsid w:val="003F0014"/>
    <w:rsid w:val="003F7333"/>
    <w:rsid w:val="004B42DE"/>
    <w:rsid w:val="004B54F7"/>
    <w:rsid w:val="004D1D47"/>
    <w:rsid w:val="004D1DCE"/>
    <w:rsid w:val="004F70C4"/>
    <w:rsid w:val="00503B50"/>
    <w:rsid w:val="005305B6"/>
    <w:rsid w:val="00540637"/>
    <w:rsid w:val="00566351"/>
    <w:rsid w:val="00590300"/>
    <w:rsid w:val="005967F1"/>
    <w:rsid w:val="005E2C46"/>
    <w:rsid w:val="005E71A4"/>
    <w:rsid w:val="005F046F"/>
    <w:rsid w:val="005F3A9E"/>
    <w:rsid w:val="005F4824"/>
    <w:rsid w:val="00606926"/>
    <w:rsid w:val="0061709D"/>
    <w:rsid w:val="00666933"/>
    <w:rsid w:val="00691281"/>
    <w:rsid w:val="00692E69"/>
    <w:rsid w:val="0072701C"/>
    <w:rsid w:val="0073068D"/>
    <w:rsid w:val="00753D68"/>
    <w:rsid w:val="007569FC"/>
    <w:rsid w:val="00756CB3"/>
    <w:rsid w:val="00790FB0"/>
    <w:rsid w:val="007C729F"/>
    <w:rsid w:val="007D4262"/>
    <w:rsid w:val="00806273"/>
    <w:rsid w:val="008173A3"/>
    <w:rsid w:val="008336E4"/>
    <w:rsid w:val="00837274"/>
    <w:rsid w:val="0083794F"/>
    <w:rsid w:val="00861043"/>
    <w:rsid w:val="00871097"/>
    <w:rsid w:val="00883561"/>
    <w:rsid w:val="0088770C"/>
    <w:rsid w:val="008A2154"/>
    <w:rsid w:val="008B3D42"/>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7551D"/>
    <w:rsid w:val="00A95DDE"/>
    <w:rsid w:val="00B8136A"/>
    <w:rsid w:val="00BE7001"/>
    <w:rsid w:val="00C2374F"/>
    <w:rsid w:val="00C2385F"/>
    <w:rsid w:val="00C630C9"/>
    <w:rsid w:val="00C97AB9"/>
    <w:rsid w:val="00CF32DF"/>
    <w:rsid w:val="00D44C7A"/>
    <w:rsid w:val="00D462AA"/>
    <w:rsid w:val="00D57617"/>
    <w:rsid w:val="00D67EE8"/>
    <w:rsid w:val="00D94169"/>
    <w:rsid w:val="00DA5629"/>
    <w:rsid w:val="00DB65DC"/>
    <w:rsid w:val="00DC7EA4"/>
    <w:rsid w:val="00DE1076"/>
    <w:rsid w:val="00DE3D52"/>
    <w:rsid w:val="00DF532B"/>
    <w:rsid w:val="00E0788B"/>
    <w:rsid w:val="00E2218E"/>
    <w:rsid w:val="00E662E6"/>
    <w:rsid w:val="00EA71E2"/>
    <w:rsid w:val="00EC34A6"/>
    <w:rsid w:val="00ED2D11"/>
    <w:rsid w:val="00F0154F"/>
    <w:rsid w:val="00F21015"/>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7237A5C2"/>
  <w15:docId w15:val="{0E8062FB-242C-4467-8507-F235252B6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semiHidde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DF532B"/>
    <w:pPr>
      <w:spacing w:before="240"/>
    </w:pPr>
    <w:rPr>
      <w:b/>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FF6BAF"/>
    <w:rPr>
      <w:rFonts w:cs="Arial"/>
      <w:szCs w:val="22"/>
    </w:rPr>
  </w:style>
  <w:style w:type="paragraph" w:customStyle="1" w:styleId="IQB-RSExample">
    <w:name w:val="IQB-RSExample"/>
    <w:basedOn w:val="IQB-Standard"/>
    <w:link w:val="IQB-RSExampleZchn"/>
    <w:qFormat/>
    <w:rsid w:val="00FF6BAF"/>
    <w:pPr>
      <w:numPr>
        <w:numId w:val="1"/>
      </w:numPr>
      <w:ind w:left="170" w:hanging="170"/>
    </w:pPr>
  </w:style>
  <w:style w:type="character" w:customStyle="1" w:styleId="IQB-RSNormalZchn">
    <w:name w:val="IQB-RSNormal Zchn"/>
    <w:basedOn w:val="Absatz-Standardschriftart"/>
    <w:link w:val="IQB-RSNormal"/>
    <w:rsid w:val="00FF6BAF"/>
    <w:rPr>
      <w:rFonts w:ascii="Arial" w:hAnsi="Arial" w:cs="Arial"/>
      <w:sz w:val="24"/>
      <w:szCs w:val="22"/>
    </w:rPr>
  </w:style>
  <w:style w:type="paragraph" w:customStyle="1" w:styleId="IQB-RSHeaderAufgabe">
    <w:name w:val="IQB-RSHeaderAufgabe"/>
    <w:basedOn w:val="IQB-Standard"/>
    <w:link w:val="IQB-RSHeaderAufgabeZchn"/>
    <w:qFormat/>
    <w:rsid w:val="00861043"/>
  </w:style>
  <w:style w:type="character" w:customStyle="1" w:styleId="IQB-RSExampleZchn">
    <w:name w:val="IQB-RSExample Zchn"/>
    <w:basedOn w:val="IQB-RSNormalZchn"/>
    <w:link w:val="IQB-RSExample"/>
    <w:rsid w:val="00FF6BAF"/>
    <w:rPr>
      <w:rFonts w:ascii="Arial" w:hAnsi="Arial" w:cs="Arial"/>
      <w:sz w:val="24"/>
      <w:szCs w:val="24"/>
    </w:rPr>
  </w:style>
  <w:style w:type="paragraph" w:customStyle="1" w:styleId="IQB-RSHeaderItem">
    <w:name w:val="IQB-RSHeaderItem"/>
    <w:basedOn w:val="IQB-Standard"/>
    <w:link w:val="IQB-RSHeaderItemZchn"/>
    <w:qFormat/>
    <w:rsid w:val="00861043"/>
  </w:style>
  <w:style w:type="character" w:customStyle="1" w:styleId="IQB-RSHeaderAufgabeZchn">
    <w:name w:val="IQB-RSHeaderAufgabe Zchn"/>
    <w:basedOn w:val="IQB-RSNormalZchn"/>
    <w:link w:val="IQB-RSHeaderAufgabe"/>
    <w:rsid w:val="0018477B"/>
    <w:rPr>
      <w:rFonts w:ascii="Arial" w:hAnsi="Arial" w:cs="Arial"/>
      <w:sz w:val="24"/>
      <w:szCs w:val="24"/>
    </w:rPr>
  </w:style>
  <w:style w:type="paragraph" w:customStyle="1" w:styleId="IQB-RSHeaderVariable">
    <w:name w:val="IQB-RSHeaderVariable"/>
    <w:basedOn w:val="IQB-Standard"/>
    <w:link w:val="IQB-RSHeaderVariableZchn"/>
    <w:qFormat/>
    <w:rsid w:val="00861043"/>
  </w:style>
  <w:style w:type="character" w:customStyle="1" w:styleId="IQB-RSHeaderItemZchn">
    <w:name w:val="IQB-RSHeaderItem Zchn"/>
    <w:basedOn w:val="IQB-RSHeaderAufgabeZchn"/>
    <w:link w:val="IQB-RSHeaderItem"/>
    <w:rsid w:val="0018477B"/>
    <w:rPr>
      <w:rFonts w:ascii="Arial" w:hAnsi="Arial" w:cs="Arial"/>
      <w:sz w:val="24"/>
      <w:szCs w:val="24"/>
    </w:rPr>
  </w:style>
  <w:style w:type="character" w:customStyle="1" w:styleId="IQB-RSHeaderVariableZchn">
    <w:name w:val="IQB-RSHeaderVariable Zchn"/>
    <w:basedOn w:val="IQB-RSHeaderItemZchn"/>
    <w:link w:val="IQB-RSHeaderVariable"/>
    <w:rsid w:val="0018477B"/>
    <w:rPr>
      <w:rFonts w:ascii="Arial" w:hAnsi="Arial" w:cs="Arial"/>
      <w:sz w:val="24"/>
      <w:szCs w:val="24"/>
    </w:rPr>
  </w:style>
  <w:style w:type="paragraph" w:customStyle="1" w:styleId="IQB-RSAllgemein">
    <w:name w:val="IQB-RSAllgemein"/>
    <w:basedOn w:val="IQB-Standard"/>
    <w:link w:val="IQB-RSAllgemeinZchn"/>
    <w:qFormat/>
    <w:rsid w:val="00FF6BAF"/>
    <w:rPr>
      <w:rFonts w:cs="Arial"/>
    </w:rPr>
  </w:style>
  <w:style w:type="paragraph" w:customStyle="1" w:styleId="IQB-RSPosition">
    <w:name w:val="IQB-RSPosition"/>
    <w:basedOn w:val="IQB-Standard"/>
    <w:link w:val="IQB-RSPositionZchn"/>
    <w:qFormat/>
    <w:rsid w:val="00012B7A"/>
  </w:style>
  <w:style w:type="character" w:customStyle="1" w:styleId="IQB-RSAllgemeinZchn">
    <w:name w:val="IQB-RSAllgemein Zchn"/>
    <w:basedOn w:val="Absatz-Standardschriftart"/>
    <w:link w:val="IQB-RSAllgemein"/>
    <w:rsid w:val="00FF6BAF"/>
    <w:rPr>
      <w:rFonts w:ascii="Arial" w:hAnsi="Arial" w:cs="Arial"/>
      <w:sz w:val="24"/>
      <w:szCs w:val="24"/>
    </w:rPr>
  </w:style>
  <w:style w:type="paragraph" w:customStyle="1" w:styleId="IQB-RSCodeValue">
    <w:name w:val="IQB-RSCodeValue"/>
    <w:basedOn w:val="IQB-Standard"/>
    <w:link w:val="IQB-RSCodeValueZchn"/>
    <w:qFormat/>
    <w:rsid w:val="00FF6BAF"/>
  </w:style>
  <w:style w:type="character" w:customStyle="1" w:styleId="IQB-RSPositionZchn">
    <w:name w:val="IQB-RSPosition Zchn"/>
    <w:basedOn w:val="IQB-RSAllgemeinZchn"/>
    <w:link w:val="IQB-RSPosition"/>
    <w:rsid w:val="0018477B"/>
    <w:rPr>
      <w:rFonts w:ascii="Arial" w:hAnsi="Arial" w:cs="Arial"/>
      <w:sz w:val="24"/>
      <w:szCs w:val="24"/>
    </w:rPr>
  </w:style>
  <w:style w:type="paragraph" w:customStyle="1" w:styleId="IQB-RSScore">
    <w:name w:val="IQB-RSScore"/>
    <w:basedOn w:val="IQB-Standard"/>
    <w:link w:val="IQB-RSScoreZchn"/>
    <w:qFormat/>
    <w:rsid w:val="00012B7A"/>
  </w:style>
  <w:style w:type="character" w:customStyle="1" w:styleId="IQB-RSCodeValueZchn">
    <w:name w:val="IQB-RSCodeValue Zchn"/>
    <w:basedOn w:val="IQB-RSPositionZchn"/>
    <w:link w:val="IQB-RSCodeValue"/>
    <w:rsid w:val="00FF6BAF"/>
    <w:rPr>
      <w:rFonts w:ascii="Arial" w:hAnsi="Arial" w:cs="Arial"/>
      <w:sz w:val="24"/>
      <w:szCs w:val="24"/>
    </w:rPr>
  </w:style>
  <w:style w:type="character" w:customStyle="1" w:styleId="IQB-RSScoreZchn">
    <w:name w:val="IQB-RSScore Zchn"/>
    <w:basedOn w:val="IQB-RSCodeValueZchn"/>
    <w:link w:val="IQB-RSScore"/>
    <w:rsid w:val="0018477B"/>
    <w:rPr>
      <w:rFonts w:ascii="Arial" w:hAnsi="Arial" w:cs="Arial"/>
      <w:sz w:val="24"/>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DF532B"/>
    <w:rPr>
      <w:rFonts w:ascii="Arial" w:hAnsi="Arial"/>
      <w:b/>
      <w:sz w:val="24"/>
      <w:szCs w:val="24"/>
    </w:rPr>
  </w:style>
  <w:style w:type="character" w:customStyle="1" w:styleId="IQB-TeilaufgabensubtitelZchn">
    <w:name w:val="IQB-Teilaufgabensubtitel Zchn"/>
    <w:basedOn w:val="IQB-TeilaufgabentitelZchn"/>
    <w:link w:val="IQB-Teilaufgabensubtitel"/>
    <w:rsid w:val="001865A6"/>
    <w:rPr>
      <w:rFonts w:ascii="Arial" w:hAnsi="Arial"/>
      <w:b/>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CF32DF"/>
    <w:rPr>
      <w:sz w:val="22"/>
      <w:szCs w:val="22"/>
    </w:rPr>
  </w:style>
  <w:style w:type="character" w:customStyle="1" w:styleId="IQB-AufgabensubtitelZchn">
    <w:name w:val="IQB-Aufgabensubtitel Zchn"/>
    <w:basedOn w:val="IQB-TeilaufgabentitelZchn"/>
    <w:link w:val="IQB-Aufgabensubtitel"/>
    <w:rsid w:val="0018477B"/>
    <w:rPr>
      <w:rFonts w:ascii="Arial" w:hAnsi="Arial"/>
      <w:b/>
      <w:sz w:val="24"/>
      <w:szCs w:val="24"/>
    </w:rPr>
  </w:style>
  <w:style w:type="paragraph" w:customStyle="1" w:styleId="IQB-Merkmalswert">
    <w:name w:val="IQB-Merkmalswert"/>
    <w:basedOn w:val="IQB-Standard"/>
    <w:link w:val="IQB-MerkmalswertZchn"/>
    <w:qFormat/>
    <w:rsid w:val="00CF32DF"/>
  </w:style>
  <w:style w:type="character" w:customStyle="1" w:styleId="IQB-MerkmalZchn">
    <w:name w:val="IQB-Merkmal Zchn"/>
    <w:basedOn w:val="IQB-TeilaufgabentitelZchn"/>
    <w:link w:val="IQB-Merkmal"/>
    <w:rsid w:val="0018477B"/>
    <w:rPr>
      <w:rFonts w:ascii="Arial" w:hAnsi="Arial"/>
      <w:b/>
      <w:sz w:val="22"/>
      <w:szCs w:val="22"/>
    </w:rPr>
  </w:style>
  <w:style w:type="character" w:customStyle="1" w:styleId="IQB-MerkmalswertZchn">
    <w:name w:val="IQB-Merkmalswert Zchn"/>
    <w:basedOn w:val="IQB-MerkmalZchn"/>
    <w:link w:val="IQB-Merkmalswert"/>
    <w:rsid w:val="0018477B"/>
    <w:rPr>
      <w:rFonts w:ascii="Arial" w:hAnsi="Arial"/>
      <w:b/>
      <w:sz w:val="24"/>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IQB-RSExample2">
    <w:name w:val="IQB-RSExample2"/>
    <w:basedOn w:val="IQB-RSExample"/>
    <w:link w:val="IQB-RSExample2Zchn"/>
    <w:qFormat/>
    <w:rsid w:val="000442E9"/>
    <w:pPr>
      <w:numPr>
        <w:numId w:val="0"/>
      </w:numPr>
      <w:spacing w:before="0"/>
      <w:ind w:left="170"/>
    </w:pPr>
  </w:style>
  <w:style w:type="character" w:customStyle="1" w:styleId="IQB-RSExample2Zchn">
    <w:name w:val="IQB-RSExample2 Zchn"/>
    <w:basedOn w:val="IQB-RSExampleZchn"/>
    <w:link w:val="IQB-RSExample2"/>
    <w:rsid w:val="000442E9"/>
    <w:rPr>
      <w:rFonts w:ascii="Arial" w:hAnsi="Arial" w:cs="Arial"/>
      <w:sz w:val="24"/>
      <w:szCs w:val="24"/>
    </w:rPr>
  </w:style>
  <w:style w:type="paragraph" w:customStyle="1" w:styleId="IQB-Blocktitel">
    <w:name w:val="IQB-Blocktitel"/>
    <w:basedOn w:val="berschrift1"/>
    <w:next w:val="IQB-Aufgabentitel"/>
    <w:link w:val="IQB-BlocktitelZchn"/>
    <w:qFormat/>
    <w:rsid w:val="00E0788B"/>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E0788B"/>
    <w:rPr>
      <w:rFonts w:ascii="Arial" w:eastAsiaTheme="majorEastAsia" w:hAnsi="Arial" w:cs="Arial"/>
      <w:b/>
      <w:bCs/>
      <w:color w:val="365F91" w:themeColor="accent1" w:themeShade="B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2AE510-382D-47CF-B579-E0C94A5E6A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466</Words>
  <Characters>2540</Characters>
  <Application>Microsoft Office Word</Application>
  <DocSecurity>0</DocSecurity>
  <Lines>110</Lines>
  <Paragraphs>88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2025-07-23T11:53:00Z</dcterms:created>
  <dcterms:modified xsi:type="dcterms:W3CDTF">2025-07-23T11:53:00Z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_online Auswertungen Hauptdurchgang VERA; krugerst; 17.07.2025</vt:lpwstr>
  </property>
</Properties>
</file>