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E24" w:rsidRDefault="00444609" w:rsidP="00444609">
      <w:pPr>
        <w:pStyle w:val="IQB-Aufgabentitel"/>
        <w:pBdr>
          <w:top w:val="none" w:sz="0" w:space="0" w:color="auto"/>
          <w:bottom w:val="none" w:sz="0" w:space="0" w:color="auto"/>
        </w:pBdr>
      </w:pPr>
      <w:r w:rsidRPr="00E57A9C">
        <w:rPr>
          <w:sz w:val="28"/>
        </w:rPr>
        <w:t xml:space="preserve">Auswertung - </w:t>
      </w:r>
      <w:r w:rsidRPr="00444609">
        <w:rPr>
          <w:sz w:val="28"/>
        </w:rPr>
        <w:t>Schokoladenbonbons</w:t>
      </w:r>
    </w:p>
    <w:p w:rsidR="00736E24" w:rsidRDefault="00444609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36E24">
        <w:tc>
          <w:tcPr>
            <w:tcW w:w="1247" w:type="dxa"/>
            <w:vAlign w:val="center"/>
          </w:tcPr>
          <w:p w:rsidR="00736E24" w:rsidRDefault="00444609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36E24" w:rsidRDefault="0078098A">
            <w:pPr>
              <w:pStyle w:val="IQB-RSNormal"/>
            </w:pPr>
            <w:r w:rsidRPr="0078098A">
              <w:rPr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1.05pt;height:31.2pt" o:ole="">
                  <v:imagedata r:id="rId8" o:title=""/>
                </v:shape>
                <o:OLEObject Type="Embed" ProgID="Equation.DSMT4" ShapeID="_x0000_i1026" DrawAspect="Content" ObjectID="_1773645913" r:id="rId9"/>
              </w:object>
            </w:r>
          </w:p>
        </w:tc>
        <w:bookmarkStart w:id="0" w:name="_GoBack"/>
        <w:bookmarkEnd w:id="0"/>
      </w:tr>
    </w:tbl>
    <w:p w:rsidR="00736E24" w:rsidRDefault="00444609" w:rsidP="00444609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36E24">
        <w:tc>
          <w:tcPr>
            <w:tcW w:w="1247" w:type="dxa"/>
            <w:vAlign w:val="center"/>
          </w:tcPr>
          <w:p w:rsidR="00736E24" w:rsidRDefault="00444609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36E24" w:rsidRDefault="00444609">
            <w:pPr>
              <w:pStyle w:val="IQB-RSNormal"/>
            </w:pPr>
            <w:r>
              <w:t>Bonbondose 1</w:t>
            </w:r>
          </w:p>
          <w:p w:rsidR="00736E24" w:rsidRDefault="00736E24"/>
          <w:p w:rsidR="00736E24" w:rsidRDefault="00444609">
            <w:pPr>
              <w:pStyle w:val="IQB-RSNormal"/>
            </w:pPr>
            <w:r>
              <w:t>UND</w:t>
            </w:r>
          </w:p>
          <w:p w:rsidR="00736E24" w:rsidRDefault="00736E24"/>
          <w:p w:rsidR="00736E24" w:rsidRDefault="00444609">
            <w:pPr>
              <w:pStyle w:val="IQB-RSNormal"/>
            </w:pPr>
            <w:r>
              <w:t>korrekte Begründung, bei der die Wahrscheinlichkeiten, ein Bonbon mit dunkler Schokolade aus einer der beiden Dosen zu ziehen, verglichen werden.</w:t>
            </w:r>
          </w:p>
          <w:p w:rsidR="00736E24" w:rsidRDefault="00736E24"/>
          <w:p w:rsidR="00736E24" w:rsidRDefault="00444609">
            <w:pPr>
              <w:pStyle w:val="IQB-RSNormal"/>
            </w:pPr>
            <w:r>
              <w:t>Beispiel(e)</w:t>
            </w:r>
          </w:p>
          <w:p w:rsidR="00736E24" w:rsidRDefault="00444609">
            <w:pPr>
              <w:pStyle w:val="IQB-RSExample"/>
            </w:pPr>
            <w:r>
              <w:t>3 von 10 ist mehr als 3 von 14.</w:t>
            </w:r>
          </w:p>
          <w:p w:rsidR="00736E24" w:rsidRDefault="00444609">
            <w:pPr>
              <w:pStyle w:val="IQB-RSExample"/>
            </w:pPr>
            <w:r>
              <w:t>1. Dose: insgesamt 10 Bonbons, davon 3 mit dunkler Schokolade, also:</w:t>
            </w:r>
          </w:p>
          <w:p w:rsidR="00736E24" w:rsidRDefault="0078098A">
            <w:pPr>
              <w:pStyle w:val="IQB-RSExample2"/>
            </w:pPr>
            <w:r w:rsidRPr="0078098A">
              <w:rPr>
                <w:position w:val="-24"/>
              </w:rPr>
              <w:object w:dxaOrig="1060" w:dyaOrig="620">
                <v:shape id="_x0000_i1029" type="#_x0000_t75" style="width:52.8pt;height:31.2pt" o:ole="">
                  <v:imagedata r:id="rId10" o:title=""/>
                </v:shape>
                <o:OLEObject Type="Embed" ProgID="Equation.DSMT4" ShapeID="_x0000_i1029" DrawAspect="Content" ObjectID="_1773645914" r:id="rId11"/>
              </w:object>
            </w:r>
          </w:p>
          <w:p w:rsidR="00736E24" w:rsidRDefault="00444609">
            <w:pPr>
              <w:pStyle w:val="IQB-RSExample2"/>
            </w:pPr>
            <w:r>
              <w:t>2. Dose insgesamt 14 Bonbons, davon 3 mit dunkler Schokolade, also:</w:t>
            </w:r>
          </w:p>
          <w:p w:rsidR="00736E24" w:rsidRDefault="0078098A">
            <w:pPr>
              <w:pStyle w:val="IQB-RSExample2"/>
            </w:pPr>
            <w:r w:rsidRPr="0078098A">
              <w:rPr>
                <w:position w:val="-24"/>
              </w:rPr>
              <w:object w:dxaOrig="1040" w:dyaOrig="620">
                <v:shape id="_x0000_i1032" type="#_x0000_t75" style="width:51.85pt;height:31.2pt" o:ole="">
                  <v:imagedata r:id="rId12" o:title=""/>
                </v:shape>
                <o:OLEObject Type="Embed" ProgID="Equation.DSMT4" ShapeID="_x0000_i1032" DrawAspect="Content" ObjectID="_1773645915" r:id="rId13"/>
              </w:object>
            </w:r>
          </w:p>
          <w:p w:rsidR="00736E24" w:rsidRDefault="00444609">
            <w:pPr>
              <w:pStyle w:val="IQB-RSExample2"/>
            </w:pPr>
            <w:r>
              <w:t>Da 30 % &gt; 21 %, ist die Wahrscheinlichkeit in der ersten Dose höher.</w:t>
            </w:r>
          </w:p>
        </w:tc>
      </w:tr>
    </w:tbl>
    <w:p w:rsidR="00166C5F" w:rsidRDefault="00166C5F"/>
    <w:sectPr w:rsidR="00166C5F" w:rsidSect="00DB65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66C5F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44609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36E24"/>
    <w:rsid w:val="00753D68"/>
    <w:rsid w:val="007569FC"/>
    <w:rsid w:val="00756CB3"/>
    <w:rsid w:val="0078098A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link w:val="IQB-AufgabentitelZchn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  <w:style w:type="paragraph" w:customStyle="1" w:styleId="MTDisplayEquation">
    <w:name w:val="MTDisplayEquation"/>
    <w:basedOn w:val="Standard"/>
    <w:next w:val="Standard"/>
    <w:link w:val="MTDisplayEquationZchn"/>
    <w:rsid w:val="0078098A"/>
    <w:pPr>
      <w:tabs>
        <w:tab w:val="right" w:pos="9640"/>
      </w:tabs>
    </w:pPr>
    <w:rPr>
      <w:rFonts w:ascii="Arial" w:eastAsiaTheme="majorEastAsia" w:hAnsi="Arial" w:cstheme="majorBidi"/>
      <w:color w:val="4F81BD" w:themeColor="accent1"/>
      <w:sz w:val="28"/>
    </w:rPr>
  </w:style>
  <w:style w:type="character" w:customStyle="1" w:styleId="IQB-AufgabentitelZchn">
    <w:name w:val="IQB-Aufgabentitel Zchn"/>
    <w:basedOn w:val="berschrift2Zchn"/>
    <w:link w:val="IQB-Aufgabentitel"/>
    <w:rsid w:val="0078098A"/>
    <w:rPr>
      <w:rFonts w:ascii="Arial" w:eastAsiaTheme="majorEastAsia" w:hAnsi="Arial" w:cstheme="majorBidi"/>
      <w:b w:val="0"/>
      <w:bCs/>
      <w:color w:val="4F81BD" w:themeColor="accent1"/>
      <w:sz w:val="36"/>
      <w:szCs w:val="36"/>
    </w:rPr>
  </w:style>
  <w:style w:type="character" w:customStyle="1" w:styleId="MTDisplayEquationZchn">
    <w:name w:val="MTDisplayEquation Zchn"/>
    <w:basedOn w:val="IQB-AufgabentitelZchn"/>
    <w:link w:val="MTDisplayEquation"/>
    <w:rsid w:val="0078098A"/>
    <w:rPr>
      <w:rFonts w:ascii="Arial" w:eastAsiaTheme="majorEastAsia" w:hAnsi="Arial" w:cstheme="majorBidi"/>
      <w:b w:val="0"/>
      <w:bCs w:val="0"/>
      <w:color w:val="4F81BD" w:themeColor="accen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0A5AA-F8F4-4A58-8EFA-DE493352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