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DE8" w:rsidRDefault="00101CD2" w:rsidP="00101CD2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 w:rsidRPr="00101CD2">
        <w:rPr>
          <w:sz w:val="28"/>
        </w:rPr>
        <w:t>Rundfunkgebühren</w:t>
      </w:r>
    </w:p>
    <w:p w:rsidR="006E3DE8" w:rsidRDefault="00101CD2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In Spalte 1 fehlt 1992.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In Spalte 2 fehlt 5.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In Spalte 3 fehlt 6,70 Euro.  Lösung</w:t>
            </w:r>
            <w:bookmarkStart w:id="0" w:name="_GoBack"/>
            <w:bookmarkEnd w:id="0"/>
            <w:r>
              <w:t>en aus dem Intervall [6,20; 6,80] Euro sind richtig.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[Anm.: Die fehlenden Daten können auch in der Tabelle notiert werden.</w:t>
            </w:r>
          </w:p>
          <w:p w:rsidR="006E3DE8" w:rsidRDefault="00101CD2">
            <w:pPr>
              <w:pStyle w:val="IQB-RSNormal"/>
            </w:pPr>
            <w:r>
              <w:t>In Spalte 1 kann auch "92" ergänzt werden.</w:t>
            </w:r>
          </w:p>
          <w:p w:rsidR="006E3DE8" w:rsidRDefault="00101CD2">
            <w:pPr>
              <w:pStyle w:val="IQB-RSNormal"/>
            </w:pPr>
            <w:r>
              <w:t>Wird für den fehlenden Wert in Spalte 3 nur "6,70" oder "6,7" angegeben ("EUR" fehlt), wird dies als richtig gewertet. Angaben in anderer Einheit sind richtig, sofern diese angegeben ist.</w:t>
            </w:r>
          </w:p>
          <w:p w:rsidR="006E3DE8" w:rsidRDefault="00101CD2">
            <w:pPr>
              <w:pStyle w:val="IQB-RSNormal"/>
            </w:pPr>
            <w:r>
              <w:t xml:space="preserve">Für den Wert in Spalte 3 ist ein Lösungsintervall angegeben, da die </w:t>
            </w:r>
            <w:r>
              <w:t>Lösung i. d. R. aus dem Diagramm abgelesen wird und erst ab Item 02 eine Auseinandersetzung mit Spalte 4, mithilfe derer der exakte Wert angegeben werden kann, erforderlich ist.]</w:t>
            </w:r>
          </w:p>
        </w:tc>
      </w:tr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Alle anderen Antworten.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Beispiel(e)</w:t>
            </w:r>
          </w:p>
          <w:p w:rsidR="006E3DE8" w:rsidRDefault="00101CD2">
            <w:pPr>
              <w:pStyle w:val="IQB-RSExample"/>
            </w:pPr>
            <w:r>
              <w:t>Einer der drei Einträge fehlt od</w:t>
            </w:r>
            <w:r>
              <w:t>er ist falsch.</w:t>
            </w:r>
          </w:p>
        </w:tc>
      </w:tr>
    </w:tbl>
    <w:p w:rsidR="006E3DE8" w:rsidRDefault="00101CD2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In Spalte 4 fehlt 1,70 Euro.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In Spalte 5 fehlt 0,23 Euro. (Lösungsintervall: [0,22;0,23] Euro)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[Anm.: Werden die fehlenden Werte nur z. B. mit "1,70" oder "1,7" angegeben ("EUR" fehlt), wird dies als richtig gewerte</w:t>
            </w:r>
            <w:r>
              <w:t xml:space="preserve">t. </w:t>
            </w:r>
          </w:p>
          <w:p w:rsidR="006E3DE8" w:rsidRDefault="00101CD2">
            <w:pPr>
              <w:pStyle w:val="IQB-RSNormal"/>
            </w:pPr>
            <w:r>
              <w:t>Angaben in anderer Einheit sind richtig, sofern diese angegeben ist (z. B. 23 ct).]</w:t>
            </w:r>
          </w:p>
        </w:tc>
      </w:tr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Alle anderen Antworten.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Beispiel(e)</w:t>
            </w:r>
          </w:p>
          <w:p w:rsidR="006E3DE8" w:rsidRDefault="00101CD2">
            <w:pPr>
              <w:pStyle w:val="IQB-RSExample"/>
            </w:pPr>
            <w:r>
              <w:t>Einer der beiden Einträge fehlt oder ist falsch.</w:t>
            </w:r>
          </w:p>
        </w:tc>
      </w:tr>
    </w:tbl>
    <w:p w:rsidR="006E3DE8" w:rsidRDefault="00101CD2">
      <w:pPr>
        <w:pStyle w:val="IQB-Teilaufgabentitel"/>
      </w:pPr>
      <w:r>
        <w:t>Teilaufgabe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Für die Bewertung als richtig genügt die Angabe eines Vorteils. Die Unterschiede werden nicht bewertet.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Die genannten Unterschiede können rein beschreibend sein und sich auf die Art der Darstellung beziehen, können aber auch wertend sein, indem Vorteile benannt werden, die Abbildung 2 gegenüber Abbildung 1 aufweist.</w:t>
            </w:r>
          </w:p>
          <w:p w:rsidR="006E3DE8" w:rsidRDefault="00101CD2">
            <w:pPr>
              <w:pStyle w:val="IQB-RSNormal"/>
            </w:pPr>
            <w:r>
              <w:t xml:space="preserve">Die genannten Unterschiede gehen nicht in </w:t>
            </w:r>
            <w:r>
              <w:t xml:space="preserve">die Bewertung ein, es sei denn, hier wird bereits ein Vorteil erwähnt. </w:t>
            </w:r>
          </w:p>
          <w:p w:rsidR="006E3DE8" w:rsidRDefault="00101CD2">
            <w:pPr>
              <w:pStyle w:val="IQB-RSNormal"/>
            </w:pPr>
            <w:r>
              <w:lastRenderedPageBreak/>
              <w:t>[Anm.: Die Aufgabenstellung fordert zur Nennung von zwei Unterschieden auf, um das Eindenken in die Abbildung zu erleichtern.]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Mögliche Vorteile, die genannt werden können:</w:t>
            </w:r>
          </w:p>
          <w:p w:rsidR="006E3DE8" w:rsidRDefault="00101CD2">
            <w:pPr>
              <w:pStyle w:val="IQB-RSExample"/>
            </w:pPr>
            <w:r>
              <w:t xml:space="preserve">Abbildung </w:t>
            </w:r>
            <w:r>
              <w:t>2 stellt die zeitliche Entwicklung der Gebühren besser (übersichtlicher) dar.</w:t>
            </w:r>
          </w:p>
          <w:p w:rsidR="006E3DE8" w:rsidRDefault="00101CD2">
            <w:pPr>
              <w:pStyle w:val="IQB-RSExample"/>
            </w:pPr>
            <w:r>
              <w:t xml:space="preserve">Man hat regelmäßige Zeitabstände und ein Graph ist übersichtlicher. </w:t>
            </w:r>
          </w:p>
          <w:p w:rsidR="006E3DE8" w:rsidRDefault="00101CD2">
            <w:pPr>
              <w:pStyle w:val="IQB-RSExample"/>
            </w:pPr>
            <w:r>
              <w:t xml:space="preserve">Man kann deutlich die Veränderung (den Preisunterschied) sehen. </w:t>
            </w:r>
          </w:p>
          <w:p w:rsidR="006E3DE8" w:rsidRDefault="00101CD2">
            <w:pPr>
              <w:pStyle w:val="IQB-RSExample"/>
            </w:pPr>
            <w:r>
              <w:t>Man kann den Verlauf der steigenden Preise n</w:t>
            </w:r>
            <w:r>
              <w:t xml:space="preserve">achvollziehen. </w:t>
            </w:r>
          </w:p>
          <w:p w:rsidR="006E3DE8" w:rsidRDefault="00101CD2">
            <w:pPr>
              <w:pStyle w:val="IQB-RSExample"/>
            </w:pPr>
            <w:r>
              <w:t>Abbildung 2 ist geeigneter, da man in ihr den Verlauf der Rundfunkgebühren besser sehen kann. (ODER Man kann den Verlauf der Gebühren viel besser erkennen.)</w:t>
            </w:r>
          </w:p>
          <w:p w:rsidR="006E3DE8" w:rsidRDefault="00101CD2">
            <w:pPr>
              <w:pStyle w:val="IQB-RSExample"/>
            </w:pPr>
            <w:r>
              <w:t xml:space="preserve">Er hat einen besseren Maßstab und ist übersichtlicher. </w:t>
            </w:r>
          </w:p>
          <w:p w:rsidR="006E3DE8" w:rsidRDefault="00101CD2">
            <w:pPr>
              <w:pStyle w:val="IQB-RSExample"/>
            </w:pPr>
            <w:r>
              <w:t>Man sieht genau die Steigun</w:t>
            </w:r>
            <w:r>
              <w:t>g im Vergleich mit den anderen Jahren.</w:t>
            </w:r>
          </w:p>
          <w:p w:rsidR="006E3DE8" w:rsidRDefault="00101CD2">
            <w:pPr>
              <w:pStyle w:val="IQB-RSExample"/>
            </w:pPr>
            <w:r>
              <w:t>Abbildung 2 kann als Funktionsgraph aufgefasst werden.</w:t>
            </w:r>
          </w:p>
          <w:p w:rsidR="006E3DE8" w:rsidRDefault="00101CD2">
            <w:pPr>
              <w:pStyle w:val="IQB-RSExample"/>
            </w:pPr>
            <w:r>
              <w:t>In der Abbildung 2 kann man einen Graphen zeichnen. Somit kann man genauer erkennen, wie viel es gestiegen ist.</w:t>
            </w:r>
          </w:p>
          <w:p w:rsidR="006E3DE8" w:rsidRDefault="00101CD2">
            <w:pPr>
              <w:pStyle w:val="IQB-RSExample"/>
            </w:pPr>
            <w:r>
              <w:t>Man sieht besser, wie es gestiegen ist.</w:t>
            </w:r>
          </w:p>
          <w:p w:rsidR="006E3DE8" w:rsidRDefault="00101CD2">
            <w:pPr>
              <w:pStyle w:val="IQB-RSExample"/>
            </w:pPr>
            <w:r>
              <w:t>Man kann s</w:t>
            </w:r>
            <w:r>
              <w:t>ich leichter vorstellen, wie schnell die Gebühren pro Jahr steigen.</w:t>
            </w:r>
          </w:p>
          <w:p w:rsidR="006E3DE8" w:rsidRDefault="00101CD2">
            <w:pPr>
              <w:pStyle w:val="IQB-RSExample"/>
            </w:pPr>
            <w:r>
              <w:t>Die Jahressprünge sind gleich.</w:t>
            </w:r>
          </w:p>
          <w:p w:rsidR="006E3DE8" w:rsidRDefault="00101CD2">
            <w:pPr>
              <w:pStyle w:val="IQB-RSExample"/>
            </w:pPr>
            <w:r>
              <w:t>Durch die regelmäßigen Jahresangaben kann man besser erkennen, wie sich die Gebühren verändert haben.</w:t>
            </w:r>
          </w:p>
        </w:tc>
      </w:tr>
      <w:tr w:rsidR="006E3DE8">
        <w:tc>
          <w:tcPr>
            <w:tcW w:w="1247" w:type="dxa"/>
            <w:vAlign w:val="center"/>
          </w:tcPr>
          <w:p w:rsidR="006E3DE8" w:rsidRDefault="00101CD2">
            <w:pPr>
              <w:pStyle w:val="IQB-RSCodeValue"/>
            </w:pPr>
            <w:r>
              <w:lastRenderedPageBreak/>
              <w:t>FALSCH</w:t>
            </w:r>
          </w:p>
        </w:tc>
        <w:tc>
          <w:tcPr>
            <w:tcW w:w="8390" w:type="dxa"/>
          </w:tcPr>
          <w:p w:rsidR="006E3DE8" w:rsidRDefault="00101CD2">
            <w:pPr>
              <w:pStyle w:val="IQB-RSNormal"/>
            </w:pPr>
            <w:r>
              <w:t>Alle anderen Antworten.</w:t>
            </w:r>
          </w:p>
          <w:p w:rsidR="006E3DE8" w:rsidRDefault="006E3DE8"/>
          <w:p w:rsidR="006E3DE8" w:rsidRDefault="00101CD2">
            <w:pPr>
              <w:pStyle w:val="IQB-RSNormal"/>
            </w:pPr>
            <w:r>
              <w:t>Beispiel(e)</w:t>
            </w:r>
          </w:p>
          <w:p w:rsidR="006E3DE8" w:rsidRDefault="00101CD2">
            <w:pPr>
              <w:pStyle w:val="IQB-RSExample"/>
            </w:pPr>
            <w:r>
              <w:t xml:space="preserve">Abbildung 2 ist übersichtlicher. </w:t>
            </w:r>
          </w:p>
          <w:p w:rsidR="006E3DE8" w:rsidRDefault="00101CD2">
            <w:pPr>
              <w:pStyle w:val="IQB-RSExample"/>
            </w:pPr>
            <w:r>
              <w:t>Punkte kann man besser ablesen.</w:t>
            </w:r>
          </w:p>
          <w:p w:rsidR="006E3DE8" w:rsidRDefault="00101CD2">
            <w:pPr>
              <w:pStyle w:val="IQB-RSExample"/>
            </w:pPr>
            <w:r>
              <w:t xml:space="preserve">Ohne Balken ist es übersichtlicher. </w:t>
            </w:r>
          </w:p>
          <w:p w:rsidR="006E3DE8" w:rsidRDefault="00101CD2">
            <w:pPr>
              <w:pStyle w:val="IQB-RSExample"/>
            </w:pPr>
            <w:r>
              <w:t xml:space="preserve">Man kann eine Gerade zeichnen. </w:t>
            </w:r>
          </w:p>
          <w:p w:rsidR="006E3DE8" w:rsidRDefault="00101CD2">
            <w:pPr>
              <w:pStyle w:val="IQB-RSExample"/>
            </w:pPr>
            <w:r>
              <w:t xml:space="preserve">Die Abbildung 2 ist anschaulicher, weil nicht sehr viele Daten dort stehen, die leicht </w:t>
            </w:r>
            <w:proofErr w:type="gramStart"/>
            <w:r>
              <w:t>durcheinander bringen</w:t>
            </w:r>
            <w:proofErr w:type="gramEnd"/>
            <w:r>
              <w:t>.</w:t>
            </w:r>
          </w:p>
          <w:p w:rsidR="006E3DE8" w:rsidRDefault="00101CD2">
            <w:pPr>
              <w:pStyle w:val="IQB-RSExample"/>
            </w:pPr>
            <w:r>
              <w:t>Abbildung 2</w:t>
            </w:r>
            <w:r>
              <w:t xml:space="preserve"> hat andere Jahreszahlen. (ODER Es sind andere Jahreszahlen.)</w:t>
            </w:r>
          </w:p>
          <w:p w:rsidR="006E3DE8" w:rsidRDefault="00101CD2">
            <w:pPr>
              <w:pStyle w:val="IQB-RSExample"/>
            </w:pPr>
            <w:r>
              <w:t>Man kann erkennen, dass die Werte ansteigen.</w:t>
            </w:r>
          </w:p>
          <w:p w:rsidR="006E3DE8" w:rsidRDefault="00101CD2">
            <w:pPr>
              <w:pStyle w:val="IQB-RSExample"/>
            </w:pPr>
            <w:r>
              <w:t>(Grenzfall)</w:t>
            </w:r>
          </w:p>
          <w:p w:rsidR="006E3DE8" w:rsidRDefault="00101CD2">
            <w:pPr>
              <w:pStyle w:val="IQB-RSExample2"/>
            </w:pPr>
            <w:r>
              <w:t xml:space="preserve">Es ist übersichtlicher und geht bis 2010, ist also viel praktischer. </w:t>
            </w:r>
          </w:p>
          <w:p w:rsidR="006E3DE8" w:rsidRDefault="00101CD2">
            <w:pPr>
              <w:pStyle w:val="IQB-RSExample2"/>
            </w:pPr>
            <w:r>
              <w:t>[Anm.: Unklar bleibt, was übersichtlicher ist.]</w:t>
            </w:r>
          </w:p>
          <w:p w:rsidR="006E3DE8" w:rsidRDefault="00101CD2">
            <w:pPr>
              <w:pStyle w:val="IQB-RSExample"/>
            </w:pPr>
            <w:r>
              <w:t>(Grenzfall)</w:t>
            </w:r>
          </w:p>
          <w:p w:rsidR="006E3DE8" w:rsidRDefault="00101CD2">
            <w:pPr>
              <w:pStyle w:val="IQB-RSExample2"/>
            </w:pPr>
            <w:r>
              <w:t>Man kann die Werte in Abbildung 2 besser ablesen als in Abbildung 1.</w:t>
            </w:r>
          </w:p>
          <w:p w:rsidR="006E3DE8" w:rsidRDefault="00101CD2">
            <w:pPr>
              <w:pStyle w:val="IQB-RSExample2"/>
            </w:pPr>
            <w:r>
              <w:t>[Anm.: Unklar bleibt, dass insbesondere die Entwicklung der Gebührenerhöhungen besser erkennbar ist.]</w:t>
            </w:r>
          </w:p>
          <w:p w:rsidR="006E3DE8" w:rsidRDefault="00101CD2">
            <w:pPr>
              <w:pStyle w:val="IQB-RSExample"/>
            </w:pPr>
            <w:r>
              <w:t xml:space="preserve">Man sieht nicht nur, wann die Gebühren gestiegen sind, sondern auch, wie sie in zehn </w:t>
            </w:r>
            <w:r>
              <w:t>Jahren gestiegen sind.</w:t>
            </w:r>
          </w:p>
          <w:p w:rsidR="006E3DE8" w:rsidRDefault="00101CD2">
            <w:pPr>
              <w:pStyle w:val="IQB-RSExample2"/>
            </w:pPr>
            <w:r>
              <w:t>[Anm.: Dies sieht man auch in der anderen Abbildung]</w:t>
            </w:r>
          </w:p>
        </w:tc>
      </w:tr>
    </w:tbl>
    <w:p w:rsidR="00000000" w:rsidRDefault="00101CD2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1CD2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E3DE8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86C73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72880-B933-4064-B425-B27676CD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2024-04-02T08:16:00Z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