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0B4" w:rsidRDefault="00385DFD">
      <w:pPr>
        <w:pStyle w:val="IQB-Aufgabentitel"/>
      </w:pPr>
      <w:r>
        <w:t>Raten beim Test</w:t>
      </w:r>
    </w:p>
    <w:p w:rsidR="00385DFD" w:rsidRDefault="00385DFD" w:rsidP="00385DFD">
      <w:pPr>
        <w:pStyle w:val="IQB-Aufgabengrafik"/>
      </w:pPr>
      <w:r w:rsidRPr="00C1436C">
        <w:rPr>
          <w:noProof/>
        </w:rPr>
        <w:drawing>
          <wp:inline distT="0" distB="0" distL="0" distR="0">
            <wp:extent cx="6177600" cy="5184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600" cy="51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DFD" w:rsidRDefault="00385DFD" w:rsidP="00385DFD">
      <w:pPr>
        <w:pStyle w:val="IQB-Teilaufgabentitel"/>
      </w:pPr>
      <w:r>
        <w:t xml:space="preserve">Teilaufgabe </w:t>
      </w:r>
      <w:r>
        <w:t>1</w:t>
      </w:r>
    </w:p>
    <w:p w:rsidR="00385DFD" w:rsidRDefault="00385DFD" w:rsidP="00385DFD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846800"/>
            <wp:effectExtent l="0" t="0" r="0" b="127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84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DFD" w:rsidRDefault="00385DFD" w:rsidP="00385DFD">
      <w:pPr>
        <w:pStyle w:val="IQB-Teilaufgabentitel"/>
      </w:pPr>
      <w:r>
        <w:t xml:space="preserve">Teilaufgabe </w:t>
      </w:r>
      <w:r>
        <w:t>2</w:t>
      </w:r>
    </w:p>
    <w:p w:rsidR="00385DFD" w:rsidRDefault="00385DFD" w:rsidP="00385DFD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3464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385DFD">
      <w:r>
        <w:rPr>
          <w:noProof/>
        </w:rPr>
        <w:drawing>
          <wp:inline distT="0" distB="0" distL="0" distR="0">
            <wp:extent cx="5875200" cy="396000"/>
            <wp:effectExtent l="0" t="0" r="0" b="444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8F98E5BB-252B-4B0C-9D06-4B0E05E4E545}"/>
    <w:embedBold r:id="rId2" w:subsetted="1" w:fontKey="{BD4B101D-BD96-45FD-A181-7875D5EB726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85DFD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520B4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8E790C4"/>
  <w15:docId w15:val="{B5115FD3-519E-4DC0-B263-4463F0F2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19AEE-8AB0-4F5B-8ECF-FF8FF28FB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2025-06-03T13:42:00Z</dcterms:created>
  <dcterms:modified xsi:type="dcterms:W3CDTF">2025-06-03T13:42:00Z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