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A75FC4">
      <w:pPr>
        <w:pStyle w:val="IQB-Aufgabentitel"/>
      </w:pPr>
      <w:r>
        <w:t>Glückssäckchen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6"/>
        <w:gridCol w:w="8651"/>
      </w:tblGrid>
      <w:tr w:rsidR="00A75FC4" w:rsidTr="00A75FC4">
        <w:tc>
          <w:tcPr>
            <w:tcW w:w="1246" w:type="dxa"/>
            <w:vAlign w:val="center"/>
          </w:tcPr>
          <w:p w:rsidR="00A75FC4" w:rsidRDefault="00A75FC4" w:rsidP="00A75FC4">
            <w:pPr>
              <w:pStyle w:val="IQB-RSCodeValue"/>
            </w:pPr>
            <w:r>
              <w:t>RICHTIG</w:t>
            </w:r>
          </w:p>
        </w:tc>
        <w:tc>
          <w:tcPr>
            <w:tcW w:w="8651" w:type="dxa"/>
          </w:tcPr>
          <w:p w:rsidR="00A75FC4" w:rsidRDefault="00A75FC4" w:rsidP="00A75FC4">
            <w:pPr>
              <w:pStyle w:val="IQB-RSNormal"/>
            </w:pPr>
            <w:r>
              <w:t>A</w:t>
            </w:r>
          </w:p>
          <w:p w:rsidR="00A75FC4" w:rsidRDefault="00A75FC4" w:rsidP="00A75FC4"/>
          <w:p w:rsidR="00A75FC4" w:rsidRDefault="00A75FC4" w:rsidP="00A75FC4">
            <w:pPr>
              <w:pStyle w:val="IQB-RSNormal"/>
            </w:pPr>
            <w:r>
              <w:t>UND</w:t>
            </w:r>
          </w:p>
          <w:p w:rsidR="00A75FC4" w:rsidRDefault="00A75FC4" w:rsidP="00A75FC4"/>
          <w:p w:rsidR="00A75FC4" w:rsidRDefault="00A75FC4" w:rsidP="00A75FC4">
            <w:pPr>
              <w:pStyle w:val="IQB-RSNormal"/>
            </w:pPr>
            <w:r>
              <w:t>Begründung mit vergleichendem Bezug auf die Anteile weißer Kugeln in den Säckchen, der bei A am höchsten ist.</w:t>
            </w:r>
          </w:p>
          <w:p w:rsidR="00A75FC4" w:rsidRDefault="00A75FC4" w:rsidP="00A75FC4"/>
          <w:p w:rsidR="00A75FC4" w:rsidRDefault="00A75FC4" w:rsidP="00A75FC4">
            <w:pPr>
              <w:pStyle w:val="IQB-RSNormal"/>
            </w:pPr>
            <w:r>
              <w:t>Beispiel(e)</w:t>
            </w:r>
          </w:p>
          <w:p w:rsidR="00A75FC4" w:rsidRPr="00A75FC4" w:rsidRDefault="00A75FC4" w:rsidP="00A75FC4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A75FC4">
              <w:rPr>
                <w:i/>
              </w:rPr>
              <w:t>Der Anteil der weißen Kugeln ist bei Beutel A am höchsten, nämlich 50 %, bei B sind es nur 40 % und bei C nur 42,8 %.</w:t>
            </w:r>
          </w:p>
          <w:p w:rsidR="00A75FC4" w:rsidRPr="00A75FC4" w:rsidRDefault="00A75FC4" w:rsidP="00A75FC4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A75FC4">
              <w:rPr>
                <w:i/>
              </w:rPr>
              <w:t>Bei Beutel A sind es genauso viele weiße wie schwarze Kugeln. Bei den beiden anderen Säckchen sind es mehr schwarze als weiße Kugeln.</w:t>
            </w:r>
          </w:p>
          <w:p w:rsidR="00A75FC4" w:rsidRPr="00A75FC4" w:rsidRDefault="00A75FC4" w:rsidP="00A75FC4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A75FC4">
              <w:rPr>
                <w:i/>
              </w:rPr>
              <w:t>In A sind mehr weiße Kugeln als in B, aber gleich viele schwarze Kugeln. Die Wahrscheinlichkeit zu gewinnen ist bei A also größer als bei B. In A sind gleich viele weiße Kugeln wie in C, jedoch weniger schwarze Kugeln. Die Wahrscheinlichkeit zu gewinnen ist bei A also größer als bei C.</w:t>
            </w:r>
          </w:p>
          <w:p w:rsidR="00A75FC4" w:rsidRPr="00A75FC4" w:rsidRDefault="00A75FC4" w:rsidP="00A75FC4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A75FC4">
              <w:rPr>
                <w:i/>
              </w:rPr>
              <w:t>(Grenzfall)</w:t>
            </w:r>
          </w:p>
          <w:p w:rsidR="00A75FC4" w:rsidRPr="006B63D4" w:rsidRDefault="00A75FC4" w:rsidP="00A75FC4">
            <w:pPr>
              <w:pStyle w:val="IQB-RSExample2"/>
            </w:pPr>
            <w:r w:rsidRPr="00A75FC4">
              <w:rPr>
                <w:i/>
              </w:rPr>
              <w:t xml:space="preserve">A: </w:t>
            </w:r>
            <w:r w:rsidRPr="00A75FC4">
              <w:rPr>
                <w:i/>
                <w:position w:val="-24"/>
              </w:rPr>
              <w:object w:dxaOrig="240" w:dyaOrig="620" w14:anchorId="36D9A79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1pt;height:30.65pt" o:ole="">
                  <v:imagedata r:id="rId8" o:title=""/>
                </v:shape>
                <o:OLEObject Type="Embed" ProgID="Equation.DSMT4" ShapeID="_x0000_i1025" DrawAspect="Content" ObjectID="_1814346318" r:id="rId9"/>
              </w:object>
            </w:r>
            <w:r w:rsidRPr="00A75FC4">
              <w:rPr>
                <w:i/>
              </w:rPr>
              <w:t xml:space="preserve">, B: </w:t>
            </w:r>
            <w:r w:rsidRPr="00A75FC4">
              <w:rPr>
                <w:i/>
                <w:position w:val="-24"/>
              </w:rPr>
              <w:object w:dxaOrig="240" w:dyaOrig="620" w14:anchorId="56FFACF0">
                <v:shape id="_x0000_i1026" type="#_x0000_t75" style="width:12.1pt;height:30.65pt" o:ole="">
                  <v:imagedata r:id="rId10" o:title=""/>
                </v:shape>
                <o:OLEObject Type="Embed" ProgID="Equation.DSMT4" ShapeID="_x0000_i1026" DrawAspect="Content" ObjectID="_1814346319" r:id="rId11"/>
              </w:object>
            </w:r>
            <w:r w:rsidRPr="00A75FC4">
              <w:rPr>
                <w:i/>
              </w:rPr>
              <w:t xml:space="preserve">, C: </w:t>
            </w:r>
            <w:r w:rsidRPr="00A75FC4">
              <w:rPr>
                <w:i/>
                <w:position w:val="-24"/>
              </w:rPr>
              <w:object w:dxaOrig="240" w:dyaOrig="620" w14:anchorId="299A65E8">
                <v:shape id="_x0000_i1027" type="#_x0000_t75" style="width:12.1pt;height:30.65pt" o:ole="">
                  <v:imagedata r:id="rId12" o:title=""/>
                </v:shape>
                <o:OLEObject Type="Embed" ProgID="Equation.DSMT4" ShapeID="_x0000_i1027" DrawAspect="Content" ObjectID="_1814346320" r:id="rId13"/>
              </w:object>
            </w:r>
            <w:r w:rsidRPr="00A75FC4">
              <w:rPr>
                <w:i/>
              </w:rPr>
              <w:t>; ohne Anmerkung zum Vergleich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C30FAD" w:rsidTr="00C30FAD">
        <w:tc>
          <w:tcPr>
            <w:tcW w:w="1247" w:type="dxa"/>
            <w:vAlign w:val="center"/>
          </w:tcPr>
          <w:p w:rsidR="00C30FAD" w:rsidRDefault="00C30FAD" w:rsidP="00C30FAD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30FAD" w:rsidRDefault="00A75FC4" w:rsidP="00C30FAD">
            <w:pPr>
              <w:pStyle w:val="IQB-RSNormal"/>
            </w:pPr>
            <w:r w:rsidRPr="00C53DFF">
              <w:rPr>
                <w:position w:val="-24"/>
              </w:rPr>
              <w:object w:dxaOrig="240" w:dyaOrig="620">
                <v:shape id="_x0000_i1028" type="#_x0000_t75" style="width:12.1pt;height:30.65pt" o:ole="">
                  <v:imagedata r:id="rId14" o:title=""/>
                </v:shape>
                <o:OLEObject Type="Embed" ProgID="Equation.DSMT4" ShapeID="_x0000_i1028" DrawAspect="Content" ObjectID="_1814346321" r:id="rId15"/>
              </w:object>
            </w:r>
            <w:r w:rsidR="00C30FAD">
              <w:t xml:space="preserve"> </w:t>
            </w:r>
          </w:p>
        </w:tc>
      </w:tr>
    </w:tbl>
    <w:p w:rsidR="00A40D31" w:rsidRDefault="00A40D31" w:rsidP="00A40D31">
      <w:pPr>
        <w:pStyle w:val="IQB-Teilaufgabentitel"/>
      </w:pPr>
      <w:r>
        <w:t xml:space="preserve">Teilaufgabe </w:t>
      </w:r>
      <w:r>
        <w:t>3</w:t>
      </w:r>
      <w:r>
        <w:t>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A40D31" w:rsidTr="00925231">
        <w:tc>
          <w:tcPr>
            <w:tcW w:w="1247" w:type="dxa"/>
            <w:vAlign w:val="center"/>
          </w:tcPr>
          <w:p w:rsidR="00A40D31" w:rsidRDefault="00A40D31" w:rsidP="00925231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A40D31" w:rsidRDefault="00A40D31" w:rsidP="00925231">
            <w:pPr>
              <w:pStyle w:val="IQB-RSNormal"/>
            </w:pPr>
            <w:r>
              <w:t>4. Kästchen wurde angekreuzt</w:t>
            </w:r>
            <w:bookmarkStart w:id="0" w:name="_GoBack"/>
            <w:bookmarkEnd w:id="0"/>
            <w:r>
              <w:t xml:space="preserve"> </w:t>
            </w:r>
          </w:p>
        </w:tc>
      </w:tr>
    </w:tbl>
    <w:p w:rsidR="00B51424" w:rsidRDefault="00B51424"/>
    <w:sectPr w:rsidR="00B51424" w:rsidSect="00DB65DC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E089A246-7EC1-4976-885E-C8B1564CBD94}"/>
    <w:embedBold r:id="rId2" w:fontKey="{A62C38A4-D174-40E7-BFB1-97021EF0BCD2}"/>
    <w:embedItalic r:id="rId3" w:fontKey="{7F24B98C-CD94-4779-903D-B306FBEE8682}"/>
    <w:embedBoldItalic r:id="rId4" w:fontKey="{A83D4DF8-C558-4718-BBE9-0D093F94AB4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B8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B69F7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0D31"/>
    <w:rsid w:val="00A47EC4"/>
    <w:rsid w:val="00A5510B"/>
    <w:rsid w:val="00A75FC4"/>
    <w:rsid w:val="00A95DDE"/>
    <w:rsid w:val="00B51424"/>
    <w:rsid w:val="00B8136A"/>
    <w:rsid w:val="00BE7001"/>
    <w:rsid w:val="00C04C30"/>
    <w:rsid w:val="00C2374F"/>
    <w:rsid w:val="00C2385F"/>
    <w:rsid w:val="00C30FAD"/>
    <w:rsid w:val="00C50B15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3DFE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,"/>
  <w:listSeparator w:val=";"/>
  <w14:docId w14:val="77BE17B5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5C2A5A-B055-4652-A8EB-D5535F93FE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798</Characters>
  <Application>Microsoft Office Word</Application>
  <DocSecurity>0</DocSecurity>
  <Lines>39</Lines>
  <Paragraphs>30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3</cp:revision>
  <cp:lastPrinted>2012-12-11T10:05:00Z</cp:lastPrinted>
  <dcterms:created xsi:type="dcterms:W3CDTF">2025-07-18T09:47:00Z</dcterms:created>
  <dcterms:modified xsi:type="dcterms:W3CDTF">2025-07-18T10:18:00Z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