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152E" w:rsidRDefault="00160EDC">
      <w:pPr>
        <w:pStyle w:val="IQB-Aufgabentitel"/>
      </w:pPr>
      <w:r>
        <w:t>Zweite Gerade</w:t>
      </w:r>
    </w:p>
    <w:p w:rsidR="00160EDC" w:rsidRDefault="00160EDC" w:rsidP="00160EDC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9600" cy="34920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34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160EDC">
      <w:r>
        <w:rPr>
          <w:noProof/>
        </w:rPr>
        <w:drawing>
          <wp:inline distT="0" distB="0" distL="0" distR="0">
            <wp:extent cx="5878800" cy="396000"/>
            <wp:effectExtent l="0" t="0" r="0" b="444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8800" cy="3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00000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32B94CD1-8745-42F8-A72C-DD50B90A9997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60EDC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152E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1EEEF28E-26AD-487E-8FD3-51CFC801A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AA338-3902-4379-8E5F-ADFECBCF2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2025-06-03T14:33:00Z</dcterms:created>
  <dcterms:modified xsi:type="dcterms:W3CDTF">2025-06-03T14:33:00Z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