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1AAF" w:rsidRDefault="00575B88">
      <w:pPr>
        <w:pStyle w:val="IQB-Aufgabentitel"/>
      </w:pPr>
      <w:r>
        <w:t>Trapezvariation</w:t>
      </w:r>
    </w:p>
    <w:p w:rsidR="006B1AAF" w:rsidRDefault="00575B88">
      <w:pPr>
        <w:pStyle w:val="IQB-Teilaufgabentitel"/>
      </w:pPr>
      <w:r>
        <w:t>Teilaufgabe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6B1AAF">
        <w:tc>
          <w:tcPr>
            <w:tcW w:w="1247" w:type="dxa"/>
            <w:vAlign w:val="center"/>
          </w:tcPr>
          <w:p w:rsidR="006B1AAF" w:rsidRDefault="00575B88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6B1AAF" w:rsidRDefault="00575B88">
            <w:pPr>
              <w:pStyle w:val="IQB-RSNormal"/>
            </w:pPr>
            <w:r>
              <w:t>2. Kästchen wurde angekreuzt</w:t>
            </w:r>
          </w:p>
        </w:tc>
      </w:tr>
    </w:tbl>
    <w:p w:rsidR="006B1AAF" w:rsidRDefault="00575B88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575B88" w:rsidTr="00575B88">
        <w:tc>
          <w:tcPr>
            <w:tcW w:w="1247" w:type="dxa"/>
            <w:vAlign w:val="center"/>
          </w:tcPr>
          <w:p w:rsidR="00575B88" w:rsidRDefault="00575B88" w:rsidP="00575B88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575B88" w:rsidRDefault="00575B88" w:rsidP="00575B88">
            <w:pPr>
              <w:pStyle w:val="IQB-RSNormal"/>
            </w:pPr>
            <w:r>
              <w:t>Ja</w:t>
            </w:r>
          </w:p>
          <w:p w:rsidR="00575B88" w:rsidRDefault="00575B88" w:rsidP="00575B88">
            <w:pPr>
              <w:pStyle w:val="IQB-RSNormal"/>
            </w:pPr>
            <w:r>
              <w:t xml:space="preserve"> </w:t>
            </w:r>
          </w:p>
          <w:p w:rsidR="00575B88" w:rsidRDefault="00575B88" w:rsidP="00575B88">
            <w:pPr>
              <w:pStyle w:val="IQB-RSNormal"/>
            </w:pPr>
            <w:r>
              <w:t>UND</w:t>
            </w:r>
          </w:p>
          <w:p w:rsidR="00575B88" w:rsidRDefault="00575B88" w:rsidP="00575B88"/>
          <w:p w:rsidR="00575B88" w:rsidRDefault="00575B88" w:rsidP="00575B88">
            <w:pPr>
              <w:pStyle w:val="IQB-RSNormal"/>
            </w:pPr>
            <w:r>
              <w:t>Begründung (auch anhand eines Beispiels) über die gleichbleibende Summe der Seitenlängen a und c.</w:t>
            </w:r>
          </w:p>
          <w:p w:rsidR="00575B88" w:rsidRDefault="00575B88" w:rsidP="00575B88"/>
          <w:p w:rsidR="00575B88" w:rsidRDefault="00575B88" w:rsidP="00575B88">
            <w:pPr>
              <w:pStyle w:val="IQB-RSNormal"/>
            </w:pPr>
            <w:r>
              <w:t>Beispiel(e)</w:t>
            </w:r>
          </w:p>
          <w:p w:rsidR="00575B88" w:rsidRPr="00575B88" w:rsidRDefault="00575B88" w:rsidP="00575B88">
            <w:pPr>
              <w:pStyle w:val="IQB-RSExample"/>
              <w:keepNext/>
              <w:keepLines/>
              <w:numPr>
                <w:ilvl w:val="0"/>
                <w:numId w:val="4"/>
              </w:numPr>
              <w:spacing w:before="0"/>
              <w:ind w:left="284" w:hanging="284"/>
              <w:rPr>
                <w:i/>
              </w:rPr>
            </w:pPr>
            <w:r w:rsidRPr="00575B88">
              <w:rPr>
                <w:i/>
                <w:position w:val="-24"/>
              </w:rPr>
              <w:object w:dxaOrig="1340" w:dyaOrig="620" w14:anchorId="12B82E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67pt;height:30.65pt" o:ole="">
                  <v:imagedata r:id="rId8" o:title=""/>
                </v:shape>
                <o:OLEObject Type="Embed" ProgID="Equation.DSMT4" ShapeID="_x0000_i1029" DrawAspect="Content" ObjectID="_1814347006" r:id="rId9"/>
              </w:object>
            </w:r>
            <w:r w:rsidRPr="00575B88">
              <w:rPr>
                <w:i/>
              </w:rPr>
              <w:t xml:space="preserve"> ; </w:t>
            </w:r>
            <w:r w:rsidRPr="00575B88">
              <w:rPr>
                <w:i/>
                <w:position w:val="-24"/>
              </w:rPr>
              <w:object w:dxaOrig="1780" w:dyaOrig="620" w14:anchorId="3ED881FA">
                <v:shape id="_x0000_i1030" type="#_x0000_t75" style="width:89.1pt;height:30.65pt" o:ole="">
                  <v:imagedata r:id="rId10" o:title=""/>
                </v:shape>
                <o:OLEObject Type="Embed" ProgID="Equation.DSMT4" ShapeID="_x0000_i1030" DrawAspect="Content" ObjectID="_1814347007" r:id="rId11"/>
              </w:object>
            </w:r>
          </w:p>
          <w:p w:rsidR="00575B88" w:rsidRPr="00575B88" w:rsidRDefault="00575B88" w:rsidP="00575B88">
            <w:pPr>
              <w:pStyle w:val="IQB-RSExample"/>
              <w:keepNext/>
              <w:keepLines/>
              <w:numPr>
                <w:ilvl w:val="0"/>
                <w:numId w:val="4"/>
              </w:numPr>
              <w:spacing w:before="0"/>
              <w:ind w:left="284" w:hanging="284"/>
              <w:rPr>
                <w:i/>
              </w:rPr>
            </w:pPr>
            <w:r w:rsidRPr="00575B88">
              <w:rPr>
                <w:i/>
              </w:rPr>
              <w:t xml:space="preserve">Wenn man die Seitenlängen a und c so verändert, dass deren Summe </w:t>
            </w:r>
            <w:proofErr w:type="gramStart"/>
            <w:r w:rsidRPr="00575B88">
              <w:rPr>
                <w:i/>
              </w:rPr>
              <w:t>gleich bleibt</w:t>
            </w:r>
            <w:proofErr w:type="gramEnd"/>
            <w:r w:rsidRPr="00575B88">
              <w:rPr>
                <w:i/>
              </w:rPr>
              <w:t>, bleibt auch der Flächeninhalt gleich.</w:t>
            </w:r>
          </w:p>
          <w:p w:rsidR="00575B88" w:rsidRPr="00575B88" w:rsidRDefault="00575B88" w:rsidP="00575B88">
            <w:pPr>
              <w:pStyle w:val="IQB-RSExample"/>
              <w:keepNext/>
              <w:keepLines/>
              <w:numPr>
                <w:ilvl w:val="0"/>
                <w:numId w:val="4"/>
              </w:numPr>
              <w:spacing w:before="0"/>
              <w:ind w:left="284" w:hanging="284"/>
              <w:rPr>
                <w:i/>
              </w:rPr>
            </w:pPr>
            <w:r w:rsidRPr="00575B88">
              <w:rPr>
                <w:i/>
              </w:rPr>
              <w:t>(Grenzfall)</w:t>
            </w:r>
          </w:p>
          <w:p w:rsidR="00575B88" w:rsidRPr="00575B88" w:rsidRDefault="00575B88" w:rsidP="00575B88">
            <w:pPr>
              <w:pStyle w:val="IQB-RSExample2"/>
              <w:rPr>
                <w:i/>
              </w:rPr>
            </w:pPr>
            <w:r w:rsidRPr="00575B88">
              <w:rPr>
                <w:i/>
              </w:rPr>
              <w:t>Man kann sie so verändern, dass es am Ende ein Rechteck wird und somit ist der Flächeninhalt gleich, da nichts weggenommen oder vergrößert wurde.</w:t>
            </w:r>
          </w:p>
          <w:p w:rsidR="00575B88" w:rsidRPr="00575B88" w:rsidRDefault="00575B88" w:rsidP="00575B88">
            <w:pPr>
              <w:pStyle w:val="IQB-RSExample"/>
              <w:keepNext/>
              <w:keepLines/>
              <w:numPr>
                <w:ilvl w:val="0"/>
                <w:numId w:val="4"/>
              </w:numPr>
              <w:spacing w:before="0"/>
              <w:ind w:left="284" w:hanging="284"/>
              <w:rPr>
                <w:i/>
              </w:rPr>
            </w:pPr>
            <w:r w:rsidRPr="00575B88">
              <w:rPr>
                <w:i/>
              </w:rPr>
              <w:t>(Grenzfall)</w:t>
            </w:r>
          </w:p>
          <w:p w:rsidR="00575B88" w:rsidRPr="00E16B88" w:rsidRDefault="00575B88" w:rsidP="00575B88">
            <w:pPr>
              <w:pStyle w:val="IQB-RSExample2"/>
            </w:pPr>
            <w:r w:rsidRPr="00575B88">
              <w:rPr>
                <w:i/>
              </w:rPr>
              <w:t>Man kann die Seitenlängen a und c vertauschen.</w:t>
            </w:r>
          </w:p>
        </w:tc>
      </w:tr>
    </w:tbl>
    <w:p w:rsidR="00000000" w:rsidRDefault="00575B88" w:rsidP="00575B88">
      <w:pPr>
        <w:pStyle w:val="IQB-Teilaufgabentitel"/>
      </w:pPr>
      <w:bookmarkStart w:id="0" w:name="_GoBack"/>
      <w:bookmarkEnd w:id="0"/>
    </w:p>
    <w:sectPr w:rsidR="00000000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C48004EE"/>
    <w:lvl w:ilvl="0" w:tplc="7EF03712">
      <w:start w:val="1"/>
      <w:numFmt w:val="bullet"/>
      <w:pStyle w:val="IQB-RSExample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75B88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1AAF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8B652D3E-327E-488D-B903-A74F74FA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4B9E1-AAE2-48EA-B66A-99D8C4AD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537</Characters>
  <Application>Microsoft Office Word</Application>
  <DocSecurity>0</DocSecurity>
  <Lines>35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2025-07-18T10:29:00Z</dcterms:created>
  <dcterms:modified xsi:type="dcterms:W3CDTF">2025-07-18T10:29:00Z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