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68D" w:rsidRDefault="00A728D2">
      <w:pPr>
        <w:pStyle w:val="IQB-Aufgabentitel"/>
      </w:pPr>
      <w:r>
        <w:t>Jubiläumsgeschenk</w:t>
      </w:r>
    </w:p>
    <w:p w:rsidR="00E426C0" w:rsidRDefault="00E426C0">
      <w:pPr>
        <w:pStyle w:val="IQB-Teilaufgabentitel"/>
      </w:pPr>
      <w:r>
        <w:t>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1328"/>
        <w:gridCol w:w="8300"/>
      </w:tblGrid>
      <w:tr w:rsidR="00E426C0" w:rsidTr="00E426C0">
        <w:tc>
          <w:tcPr>
            <w:tcW w:w="1328" w:type="dxa"/>
            <w:tcBorders>
              <w:top w:val="single" w:sz="4" w:space="0" w:color="auto"/>
              <w:bottom w:val="single" w:sz="4" w:space="0" w:color="auto"/>
              <w:right w:val="single" w:sz="4" w:space="0" w:color="auto"/>
            </w:tcBorders>
            <w:vAlign w:val="center"/>
          </w:tcPr>
          <w:p w:rsidR="00E426C0" w:rsidRDefault="00E426C0" w:rsidP="00B519AE">
            <w:pPr>
              <w:pStyle w:val="IQB-RSCodeValue"/>
            </w:pPr>
            <w:r>
              <w:t>RICHTIG</w:t>
            </w:r>
          </w:p>
        </w:tc>
        <w:tc>
          <w:tcPr>
            <w:tcW w:w="8300" w:type="dxa"/>
            <w:tcBorders>
              <w:left w:val="single" w:sz="4" w:space="0" w:color="auto"/>
            </w:tcBorders>
          </w:tcPr>
          <w:p w:rsidR="00E426C0" w:rsidRDefault="00E426C0" w:rsidP="00B519AE">
            <w:pPr>
              <w:pStyle w:val="IQB-RSNormal"/>
            </w:pPr>
            <w:r w:rsidRPr="00B011ED">
              <w:rPr>
                <w:position w:val="-10"/>
              </w:rPr>
              <w:object w:dxaOrig="11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55.25pt;height:16.75pt" o:ole="">
                  <v:imagedata r:id="rId8" o:title=""/>
                </v:shape>
                <o:OLEObject Type="Embed" ProgID="Equation.DSMT4" ShapeID="_x0000_i1038" DrawAspect="Content" ObjectID="_1814786335" r:id="rId9"/>
              </w:object>
            </w:r>
          </w:p>
          <w:p w:rsidR="00E426C0" w:rsidRDefault="00E426C0" w:rsidP="00B519AE">
            <w:pPr>
              <w:pStyle w:val="IQB-RSNormal"/>
            </w:pPr>
            <w:r>
              <w:t>[Anm.: Auch die (teilweise) Angabe von Einheiten in der Gleichung ist zulässig.]</w:t>
            </w:r>
          </w:p>
          <w:p w:rsidR="00E426C0" w:rsidRDefault="00E426C0" w:rsidP="00B519AE">
            <w:bookmarkStart w:id="0" w:name="_GoBack"/>
            <w:bookmarkEnd w:id="0"/>
          </w:p>
          <w:p w:rsidR="00E426C0" w:rsidRPr="00E426C0" w:rsidRDefault="00E426C0" w:rsidP="00B519AE">
            <w:pPr>
              <w:pStyle w:val="IQB-RSNormal"/>
              <w:rPr>
                <w:i/>
              </w:rPr>
            </w:pPr>
            <w:r w:rsidRPr="00E426C0">
              <w:rPr>
                <w:i/>
              </w:rPr>
              <w:t>Grenzfall</w:t>
            </w:r>
          </w:p>
          <w:p w:rsidR="00E426C0" w:rsidRDefault="00E426C0" w:rsidP="00E426C0">
            <w:pPr>
              <w:pStyle w:val="IQB-RSExample"/>
              <w:keepNext/>
              <w:keepLines/>
              <w:numPr>
                <w:ilvl w:val="0"/>
                <w:numId w:val="4"/>
              </w:numPr>
              <w:spacing w:before="0"/>
              <w:ind w:left="284" w:hanging="284"/>
            </w:pPr>
            <w:r w:rsidRPr="00E426C0">
              <w:rPr>
                <w:i/>
                <w:position w:val="-6"/>
              </w:rPr>
              <w:object w:dxaOrig="700" w:dyaOrig="279">
                <v:shape id="_x0000_i1039" type="#_x0000_t75" style="width:35.15pt;height:13.4pt" o:ole="">
                  <v:imagedata r:id="rId10" o:title=""/>
                </v:shape>
                <o:OLEObject Type="Embed" ProgID="Equation.DSMT4" ShapeID="_x0000_i1039" DrawAspect="Content" ObjectID="_1814786336" r:id="rId11"/>
              </w:object>
            </w:r>
          </w:p>
        </w:tc>
      </w:tr>
    </w:tbl>
    <w:p w:rsidR="0073068D" w:rsidRDefault="00E426C0">
      <w:pPr>
        <w:pStyle w:val="IQB-Teilaufgabentitel"/>
      </w:pPr>
      <w:r>
        <w:t>Teilaufgabe 2</w:t>
      </w:r>
    </w:p>
    <w:tbl>
      <w:tblPr>
        <w:tblW w:w="9628"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81"/>
      </w:tblGrid>
      <w:tr w:rsidR="00A728D2" w:rsidTr="00367173">
        <w:tc>
          <w:tcPr>
            <w:tcW w:w="1247" w:type="dxa"/>
            <w:vAlign w:val="center"/>
          </w:tcPr>
          <w:p w:rsidR="00A728D2" w:rsidRDefault="00A728D2" w:rsidP="00A728D2">
            <w:pPr>
              <w:pStyle w:val="IQB-RSCodeValue"/>
            </w:pPr>
            <w:r>
              <w:t>RICHTIG</w:t>
            </w:r>
          </w:p>
        </w:tc>
        <w:tc>
          <w:tcPr>
            <w:tcW w:w="8381" w:type="dxa"/>
          </w:tcPr>
          <w:p w:rsidR="00A728D2" w:rsidRDefault="00A728D2" w:rsidP="00A728D2">
            <w:pPr>
              <w:pStyle w:val="IQB-RSNormal"/>
            </w:pPr>
            <w:r>
              <w:t>Nein</w:t>
            </w:r>
          </w:p>
          <w:p w:rsidR="00A728D2" w:rsidRDefault="00A728D2" w:rsidP="00A728D2"/>
          <w:p w:rsidR="00A728D2" w:rsidRDefault="00A728D2" w:rsidP="00A728D2">
            <w:pPr>
              <w:pStyle w:val="IQB-RSNormal"/>
            </w:pPr>
            <w:r>
              <w:t xml:space="preserve">UND </w:t>
            </w:r>
          </w:p>
          <w:p w:rsidR="00A728D2" w:rsidRDefault="00A728D2" w:rsidP="00A728D2"/>
          <w:p w:rsidR="00A728D2" w:rsidRDefault="00A728D2" w:rsidP="00A728D2">
            <w:pPr>
              <w:pStyle w:val="IQB-RSNormal"/>
            </w:pPr>
            <w:r>
              <w:t>Begründung, in welcher daraufhin hingewiesen wird, dass sich der Preis für die Rosen zwar verdoppelt, der Preis für die Karte jedoch nicht und sich deshalb auch die Summe nicht verdoppelt.</w:t>
            </w:r>
          </w:p>
          <w:p w:rsidR="00A728D2" w:rsidRDefault="00A728D2" w:rsidP="00A728D2">
            <w:pPr>
              <w:pStyle w:val="IQB-RSNormal"/>
            </w:pPr>
            <w:r>
              <w:t>[Anm.: Die Argumentation kann auch beispielgebunden erfolgen. D. h. anhand eines Beispiels kann gezeigt werden, dass die Behauptung nicht stimmt.]</w:t>
            </w:r>
          </w:p>
          <w:p w:rsidR="00A728D2" w:rsidRDefault="00A728D2" w:rsidP="00A728D2"/>
          <w:p w:rsidR="00A728D2" w:rsidRDefault="00A728D2" w:rsidP="00A728D2">
            <w:pPr>
              <w:pStyle w:val="IQB-RSNormal"/>
            </w:pPr>
            <w:r>
              <w:t>Beispiel(e)</w:t>
            </w:r>
          </w:p>
          <w:p w:rsidR="00A728D2" w:rsidRPr="00A728D2" w:rsidRDefault="00A728D2" w:rsidP="00A728D2">
            <w:pPr>
              <w:pStyle w:val="IQB-RSExample"/>
              <w:keepNext/>
              <w:keepLines/>
              <w:numPr>
                <w:ilvl w:val="0"/>
                <w:numId w:val="4"/>
              </w:numPr>
              <w:spacing w:before="0"/>
              <w:ind w:left="284" w:hanging="284"/>
              <w:rPr>
                <w:i/>
              </w:rPr>
            </w:pPr>
            <w:r w:rsidRPr="00A728D2">
              <w:rPr>
                <w:i/>
              </w:rPr>
              <w:t>Der Preis für die Rosen ohne Karte verdoppelt sich, aber der Preis für die Karte bleibt gleich. Deshalb verdoppelt sich der Gesamtpreis nicht.</w:t>
            </w:r>
          </w:p>
          <w:p w:rsidR="00A728D2" w:rsidRPr="00A728D2" w:rsidRDefault="00A728D2" w:rsidP="00A728D2">
            <w:pPr>
              <w:pStyle w:val="IQB-RSExample"/>
              <w:keepNext/>
              <w:keepLines/>
              <w:numPr>
                <w:ilvl w:val="0"/>
                <w:numId w:val="4"/>
              </w:numPr>
              <w:spacing w:before="0"/>
              <w:ind w:left="284" w:hanging="284"/>
              <w:rPr>
                <w:i/>
              </w:rPr>
            </w:pPr>
            <w:r w:rsidRPr="00A728D2">
              <w:rPr>
                <w:i/>
              </w:rPr>
              <w:t>Wenn eine Rose 3 € und die Karte 2 €  kostet, dann kostet ein Strauß aus 10 Rosen mit Karte 32 €. Ein Strauß aus 20 Rosen mit Karte kostet 62 €. Das ist keine Verdoppelung des Gesamtpreises.</w:t>
            </w:r>
          </w:p>
          <w:p w:rsidR="00A728D2" w:rsidRPr="00A728D2" w:rsidRDefault="00A728D2" w:rsidP="00A728D2">
            <w:pPr>
              <w:pStyle w:val="IQB-RSExample"/>
              <w:keepNext/>
              <w:keepLines/>
              <w:numPr>
                <w:ilvl w:val="0"/>
                <w:numId w:val="4"/>
              </w:numPr>
              <w:spacing w:before="0"/>
              <w:ind w:left="284" w:hanging="284"/>
              <w:rPr>
                <w:i/>
              </w:rPr>
            </w:pPr>
            <w:r w:rsidRPr="00A728D2">
              <w:rPr>
                <w:i/>
                <w:position w:val="-10"/>
              </w:rPr>
              <w:object w:dxaOrig="2040" w:dyaOrig="320" w14:anchorId="0C20AACA">
                <v:shape id="_x0000_i1025" type="#_x0000_t75" style="width:102.15pt;height:15.9pt" o:ole="">
                  <v:imagedata r:id="rId12" o:title=""/>
                </v:shape>
                <o:OLEObject Type="Embed" ProgID="Equation.DSMT4" ShapeID="_x0000_i1025" DrawAspect="Content" ObjectID="_1814786337" r:id="rId13"/>
              </w:object>
            </w:r>
          </w:p>
          <w:p w:rsidR="00A728D2" w:rsidRPr="00A728D2" w:rsidRDefault="00A728D2" w:rsidP="00A728D2">
            <w:pPr>
              <w:pStyle w:val="IQB-RSNormal"/>
              <w:rPr>
                <w:i/>
              </w:rPr>
            </w:pPr>
            <w:r w:rsidRPr="00A728D2">
              <w:rPr>
                <w:i/>
              </w:rPr>
              <w:t>Grenzfall</w:t>
            </w:r>
          </w:p>
          <w:p w:rsidR="00A728D2" w:rsidRPr="00A728D2" w:rsidRDefault="00A728D2" w:rsidP="00A728D2">
            <w:pPr>
              <w:pStyle w:val="IQB-RSExample"/>
              <w:keepNext/>
              <w:keepLines/>
              <w:numPr>
                <w:ilvl w:val="0"/>
                <w:numId w:val="4"/>
              </w:numPr>
              <w:spacing w:before="0"/>
              <w:ind w:left="284" w:hanging="284"/>
              <w:rPr>
                <w:i/>
              </w:rPr>
            </w:pPr>
            <w:r w:rsidRPr="00A728D2">
              <w:rPr>
                <w:i/>
              </w:rPr>
              <w:t>Nein, der Preis verdoppelt sich nicht, da man auch die Karte berücksichtigen muss.</w:t>
            </w:r>
          </w:p>
          <w:p w:rsidR="00A728D2" w:rsidRPr="00A728D2" w:rsidRDefault="00A728D2" w:rsidP="00A728D2">
            <w:pPr>
              <w:pStyle w:val="IQB-RSExample2"/>
              <w:rPr>
                <w:i/>
              </w:rPr>
            </w:pPr>
            <w:r w:rsidRPr="00A728D2">
              <w:rPr>
                <w:i/>
              </w:rPr>
              <w:t>[Anm.: Zwar wird nicht direkt darauf verwiesen, dass sich der Preis der Karte nicht verdoppelt, doch ist dies laut Aufgabentext auch nicht der Fall. Die Karte scheint als ausschlaggebend erkannt worden zu sein.]</w:t>
            </w:r>
          </w:p>
        </w:tc>
      </w:tr>
      <w:tr w:rsidR="00A728D2" w:rsidTr="00367173">
        <w:tc>
          <w:tcPr>
            <w:tcW w:w="1247" w:type="dxa"/>
            <w:vAlign w:val="center"/>
          </w:tcPr>
          <w:p w:rsidR="00A728D2" w:rsidRDefault="00A728D2" w:rsidP="00A728D2">
            <w:pPr>
              <w:pStyle w:val="IQB-RSCodeValue"/>
            </w:pPr>
            <w:r>
              <w:t>FALSCH</w:t>
            </w:r>
          </w:p>
        </w:tc>
        <w:tc>
          <w:tcPr>
            <w:tcW w:w="8381" w:type="dxa"/>
          </w:tcPr>
          <w:p w:rsidR="00A728D2" w:rsidRDefault="00A728D2" w:rsidP="00A728D2">
            <w:pPr>
              <w:pStyle w:val="IQB-RSNormal"/>
            </w:pPr>
            <w:r>
              <w:t>Alle unvollständigen, fehlerhaften oder falschen Antworten.</w:t>
            </w:r>
          </w:p>
          <w:p w:rsidR="00A728D2" w:rsidRDefault="00A728D2" w:rsidP="00A728D2"/>
          <w:p w:rsidR="00A728D2" w:rsidRDefault="00A728D2" w:rsidP="00A728D2">
            <w:pPr>
              <w:pStyle w:val="IQB-RSNormal"/>
            </w:pPr>
            <w:r>
              <w:t>Beispiel(e)</w:t>
            </w:r>
          </w:p>
          <w:p w:rsidR="00A728D2" w:rsidRPr="00A728D2" w:rsidRDefault="00A728D2" w:rsidP="00A728D2">
            <w:pPr>
              <w:pStyle w:val="IQB-RSExample"/>
              <w:keepNext/>
              <w:keepLines/>
              <w:numPr>
                <w:ilvl w:val="0"/>
                <w:numId w:val="4"/>
              </w:numPr>
              <w:spacing w:before="0"/>
              <w:ind w:left="284" w:hanging="284"/>
              <w:rPr>
                <w:i/>
              </w:rPr>
            </w:pPr>
            <w:r w:rsidRPr="00A728D2">
              <w:rPr>
                <w:i/>
              </w:rPr>
              <w:t>Nein, der Preis verdoppelt sich nicht. Man bekommt sicher Mengenrabatt.</w:t>
            </w:r>
          </w:p>
        </w:tc>
      </w:tr>
    </w:tbl>
    <w:p w:rsidR="00E662E6" w:rsidRDefault="00E662E6"/>
    <w:sectPr w:rsidR="00E662E6" w:rsidSect="00DB65DC">
      <w:headerReference w:type="even" r:id="rId14"/>
      <w:headerReference w:type="default" r:id="rId15"/>
      <w:footerReference w:type="even" r:id="rId16"/>
      <w:footerReference w:type="default" r:id="rId17"/>
      <w:headerReference w:type="first" r:id="rId18"/>
      <w:footerReference w:type="first" r:id="rId19"/>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0FB" w:rsidRDefault="002800FB" w:rsidP="005E2C46">
      <w:r>
        <w:separator/>
      </w:r>
    </w:p>
  </w:endnote>
  <w:endnote w:type="continuationSeparator" w:id="0">
    <w:p w:rsidR="002800FB" w:rsidRDefault="002800FB"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embedRegular r:id="rId1" w:fontKey="{EB9D555D-2399-4415-835A-39DD5508D0BE}"/>
    <w:embedBold r:id="rId2" w:fontKey="{862AF815-7F45-43F9-83AD-61A03A91FE38}"/>
    <w:embedItalic r:id="rId3" w:fontKey="{0F574BCC-9F67-4FD1-BB21-2092E970F29F}"/>
    <w:embedBoldItalic r:id="rId4" w:fontKey="{EEDB1318-314B-4DFE-8016-9DFEC12D68B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0FB" w:rsidRDefault="002800FB" w:rsidP="005E2C46">
      <w:r>
        <w:separator/>
      </w:r>
    </w:p>
  </w:footnote>
  <w:footnote w:type="continuationSeparator" w:id="0">
    <w:p w:rsidR="002800FB" w:rsidRDefault="002800FB"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D2F" w:rsidRDefault="001D0D2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046F" w:rsidRDefault="005F046F">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30352FAD"/>
    <w:multiLevelType w:val="hybridMultilevel"/>
    <w:tmpl w:val="6624E482"/>
    <w:lvl w:ilvl="0" w:tplc="01986904">
      <w:start w:val="1"/>
      <w:numFmt w:val="bullet"/>
      <w:lvlText w:val="·"/>
      <w:lvlJc w:val="left"/>
      <w:pPr>
        <w:ind w:left="720" w:hanging="360"/>
      </w:pPr>
      <w:rPr>
        <w:rFonts w:ascii="SimSun" w:eastAsia="SimSun" w:hAnsi="SimSun"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C65C734A"/>
    <w:lvl w:ilvl="0" w:tplc="53D6A35C">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442E9"/>
    <w:rsid w:val="00083727"/>
    <w:rsid w:val="00090346"/>
    <w:rsid w:val="000D4117"/>
    <w:rsid w:val="000D5D22"/>
    <w:rsid w:val="000D6068"/>
    <w:rsid w:val="000E70CA"/>
    <w:rsid w:val="00104280"/>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800FB"/>
    <w:rsid w:val="00296BA4"/>
    <w:rsid w:val="002D1B6E"/>
    <w:rsid w:val="002F756E"/>
    <w:rsid w:val="00304067"/>
    <w:rsid w:val="00304DCD"/>
    <w:rsid w:val="003375B2"/>
    <w:rsid w:val="00367173"/>
    <w:rsid w:val="00374ED9"/>
    <w:rsid w:val="003A1C8B"/>
    <w:rsid w:val="003A496B"/>
    <w:rsid w:val="003C7D61"/>
    <w:rsid w:val="003D7948"/>
    <w:rsid w:val="003F0014"/>
    <w:rsid w:val="003F7333"/>
    <w:rsid w:val="004B42DE"/>
    <w:rsid w:val="004B54F7"/>
    <w:rsid w:val="004D1D47"/>
    <w:rsid w:val="004D1DCE"/>
    <w:rsid w:val="004F70C4"/>
    <w:rsid w:val="00503B50"/>
    <w:rsid w:val="00540637"/>
    <w:rsid w:val="00566351"/>
    <w:rsid w:val="00590300"/>
    <w:rsid w:val="005967F1"/>
    <w:rsid w:val="005E2C46"/>
    <w:rsid w:val="005E71A4"/>
    <w:rsid w:val="005F046F"/>
    <w:rsid w:val="005F3A9E"/>
    <w:rsid w:val="005F4824"/>
    <w:rsid w:val="00606926"/>
    <w:rsid w:val="0061709D"/>
    <w:rsid w:val="00666933"/>
    <w:rsid w:val="00691281"/>
    <w:rsid w:val="00692E69"/>
    <w:rsid w:val="0073068D"/>
    <w:rsid w:val="00753D68"/>
    <w:rsid w:val="007569FC"/>
    <w:rsid w:val="00756CB3"/>
    <w:rsid w:val="00790FB0"/>
    <w:rsid w:val="007C729F"/>
    <w:rsid w:val="007D4262"/>
    <w:rsid w:val="00806273"/>
    <w:rsid w:val="008173A3"/>
    <w:rsid w:val="008336E4"/>
    <w:rsid w:val="00837274"/>
    <w:rsid w:val="0083794F"/>
    <w:rsid w:val="00861043"/>
    <w:rsid w:val="00871097"/>
    <w:rsid w:val="00883561"/>
    <w:rsid w:val="0088770C"/>
    <w:rsid w:val="008A2154"/>
    <w:rsid w:val="008B3D42"/>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728D2"/>
    <w:rsid w:val="00A95DDE"/>
    <w:rsid w:val="00B8136A"/>
    <w:rsid w:val="00BE7001"/>
    <w:rsid w:val="00C2374F"/>
    <w:rsid w:val="00C2385F"/>
    <w:rsid w:val="00C630C9"/>
    <w:rsid w:val="00C97AB9"/>
    <w:rsid w:val="00CF32DF"/>
    <w:rsid w:val="00D17CCF"/>
    <w:rsid w:val="00D44C7A"/>
    <w:rsid w:val="00D462AA"/>
    <w:rsid w:val="00D57617"/>
    <w:rsid w:val="00D67EE8"/>
    <w:rsid w:val="00D94169"/>
    <w:rsid w:val="00DA5629"/>
    <w:rsid w:val="00DB65DC"/>
    <w:rsid w:val="00DE1076"/>
    <w:rsid w:val="00DE3D52"/>
    <w:rsid w:val="00DF532B"/>
    <w:rsid w:val="00E0788B"/>
    <w:rsid w:val="00E2218E"/>
    <w:rsid w:val="00E426C0"/>
    <w:rsid w:val="00E662E6"/>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59ED1EC9"/>
  <w15:docId w15:val="{0E8062FB-242C-4467-8507-F235252B6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semiHidde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DF532B"/>
    <w:pPr>
      <w:spacing w:before="240"/>
    </w:pPr>
    <w:rPr>
      <w:b/>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FF6BAF"/>
    <w:rPr>
      <w:rFonts w:cs="Arial"/>
      <w:szCs w:val="22"/>
    </w:rPr>
  </w:style>
  <w:style w:type="paragraph" w:customStyle="1" w:styleId="IQB-RSExample">
    <w:name w:val="IQB-RSExample"/>
    <w:basedOn w:val="IQB-Standard"/>
    <w:link w:val="IQB-RSExampleZchn"/>
    <w:qFormat/>
    <w:rsid w:val="00FF6BAF"/>
    <w:pPr>
      <w:numPr>
        <w:numId w:val="1"/>
      </w:numPr>
      <w:ind w:left="170" w:hanging="170"/>
    </w:pPr>
  </w:style>
  <w:style w:type="character" w:customStyle="1" w:styleId="IQB-RSNormalZchn">
    <w:name w:val="IQB-RSNormal Zchn"/>
    <w:basedOn w:val="Absatz-Standardschriftart"/>
    <w:link w:val="IQB-RSNormal"/>
    <w:rsid w:val="00FF6BAF"/>
    <w:rPr>
      <w:rFonts w:ascii="Arial" w:hAnsi="Arial" w:cs="Arial"/>
      <w:sz w:val="24"/>
      <w:szCs w:val="22"/>
    </w:rPr>
  </w:style>
  <w:style w:type="paragraph" w:customStyle="1" w:styleId="IQB-RSHeaderAufgabe">
    <w:name w:val="IQB-RSHeaderAufgabe"/>
    <w:basedOn w:val="IQB-Standard"/>
    <w:link w:val="IQB-RSHeaderAufgabeZchn"/>
    <w:qFormat/>
    <w:rsid w:val="00861043"/>
  </w:style>
  <w:style w:type="character" w:customStyle="1" w:styleId="IQB-RSExampleZchn">
    <w:name w:val="IQB-RSExample Zchn"/>
    <w:basedOn w:val="IQB-RSNormalZchn"/>
    <w:link w:val="IQB-RSExample"/>
    <w:rsid w:val="00FF6BAF"/>
    <w:rPr>
      <w:rFonts w:ascii="Arial" w:hAnsi="Arial" w:cs="Arial"/>
      <w:sz w:val="24"/>
      <w:szCs w:val="24"/>
    </w:rPr>
  </w:style>
  <w:style w:type="paragraph" w:customStyle="1" w:styleId="IQB-RSHeaderItem">
    <w:name w:val="IQB-RSHeaderItem"/>
    <w:basedOn w:val="IQB-Standard"/>
    <w:link w:val="IQB-RSHeaderItemZchn"/>
    <w:qFormat/>
    <w:rsid w:val="00861043"/>
  </w:style>
  <w:style w:type="character" w:customStyle="1" w:styleId="IQB-RSHeaderAufgabeZchn">
    <w:name w:val="IQB-RSHeaderAufgabe Zchn"/>
    <w:basedOn w:val="IQB-RSNormalZchn"/>
    <w:link w:val="IQB-RSHeaderAufgabe"/>
    <w:rsid w:val="0018477B"/>
    <w:rPr>
      <w:rFonts w:ascii="Arial" w:hAnsi="Arial" w:cs="Arial"/>
      <w:sz w:val="24"/>
      <w:szCs w:val="24"/>
    </w:rPr>
  </w:style>
  <w:style w:type="paragraph" w:customStyle="1" w:styleId="IQB-RSHeaderVariable">
    <w:name w:val="IQB-RSHeaderVariable"/>
    <w:basedOn w:val="IQB-Standard"/>
    <w:link w:val="IQB-RSHeaderVariableZchn"/>
    <w:qFormat/>
    <w:rsid w:val="00861043"/>
  </w:style>
  <w:style w:type="character" w:customStyle="1" w:styleId="IQB-RSHeaderItemZchn">
    <w:name w:val="IQB-RSHeaderItem Zchn"/>
    <w:basedOn w:val="IQB-RSHeaderAufgabeZchn"/>
    <w:link w:val="IQB-RSHeaderItem"/>
    <w:rsid w:val="0018477B"/>
    <w:rPr>
      <w:rFonts w:ascii="Arial" w:hAnsi="Arial" w:cs="Arial"/>
      <w:sz w:val="24"/>
      <w:szCs w:val="24"/>
    </w:rPr>
  </w:style>
  <w:style w:type="character" w:customStyle="1" w:styleId="IQB-RSHeaderVariableZchn">
    <w:name w:val="IQB-RSHeaderVariable Zchn"/>
    <w:basedOn w:val="IQB-RSHeaderItemZchn"/>
    <w:link w:val="IQB-RSHeaderVariable"/>
    <w:rsid w:val="0018477B"/>
    <w:rPr>
      <w:rFonts w:ascii="Arial" w:hAnsi="Arial" w:cs="Arial"/>
      <w:sz w:val="24"/>
      <w:szCs w:val="24"/>
    </w:rPr>
  </w:style>
  <w:style w:type="paragraph" w:customStyle="1" w:styleId="IQB-RSAllgemein">
    <w:name w:val="IQB-RSAllgemein"/>
    <w:basedOn w:val="IQB-Standard"/>
    <w:link w:val="IQB-RSAllgemeinZchn"/>
    <w:qFormat/>
    <w:rsid w:val="00FF6BAF"/>
    <w:rPr>
      <w:rFonts w:cs="Arial"/>
    </w:rPr>
  </w:style>
  <w:style w:type="paragraph" w:customStyle="1" w:styleId="IQB-RSPosition">
    <w:name w:val="IQB-RSPosition"/>
    <w:basedOn w:val="IQB-Standard"/>
    <w:link w:val="IQB-RSPositionZchn"/>
    <w:qFormat/>
    <w:rsid w:val="00012B7A"/>
  </w:style>
  <w:style w:type="character" w:customStyle="1" w:styleId="IQB-RSAllgemeinZchn">
    <w:name w:val="IQB-RSAllgemein Zchn"/>
    <w:basedOn w:val="Absatz-Standardschriftart"/>
    <w:link w:val="IQB-RSAllgemein"/>
    <w:rsid w:val="00FF6BAF"/>
    <w:rPr>
      <w:rFonts w:ascii="Arial" w:hAnsi="Arial" w:cs="Arial"/>
      <w:sz w:val="24"/>
      <w:szCs w:val="24"/>
    </w:rPr>
  </w:style>
  <w:style w:type="paragraph" w:customStyle="1" w:styleId="IQB-RSCodeValue">
    <w:name w:val="IQB-RSCodeValue"/>
    <w:basedOn w:val="IQB-Standard"/>
    <w:link w:val="IQB-RSCodeValueZchn"/>
    <w:qFormat/>
    <w:rsid w:val="00FF6BAF"/>
  </w:style>
  <w:style w:type="character" w:customStyle="1" w:styleId="IQB-RSPositionZchn">
    <w:name w:val="IQB-RSPosition Zchn"/>
    <w:basedOn w:val="IQB-RSAllgemeinZchn"/>
    <w:link w:val="IQB-RSPosition"/>
    <w:rsid w:val="0018477B"/>
    <w:rPr>
      <w:rFonts w:ascii="Arial" w:hAnsi="Arial" w:cs="Arial"/>
      <w:sz w:val="24"/>
      <w:szCs w:val="24"/>
    </w:rPr>
  </w:style>
  <w:style w:type="paragraph" w:customStyle="1" w:styleId="IQB-RSScore">
    <w:name w:val="IQB-RSScore"/>
    <w:basedOn w:val="IQB-Standard"/>
    <w:link w:val="IQB-RSScoreZchn"/>
    <w:qFormat/>
    <w:rsid w:val="00012B7A"/>
  </w:style>
  <w:style w:type="character" w:customStyle="1" w:styleId="IQB-RSCodeValueZchn">
    <w:name w:val="IQB-RSCodeValue Zchn"/>
    <w:basedOn w:val="IQB-RSPositionZchn"/>
    <w:link w:val="IQB-RSCodeValue"/>
    <w:rsid w:val="00FF6BAF"/>
    <w:rPr>
      <w:rFonts w:ascii="Arial" w:hAnsi="Arial" w:cs="Arial"/>
      <w:sz w:val="24"/>
      <w:szCs w:val="24"/>
    </w:rPr>
  </w:style>
  <w:style w:type="character" w:customStyle="1" w:styleId="IQB-RSScoreZchn">
    <w:name w:val="IQB-RSScore Zchn"/>
    <w:basedOn w:val="IQB-RSCodeValueZchn"/>
    <w:link w:val="IQB-RSScore"/>
    <w:rsid w:val="0018477B"/>
    <w:rPr>
      <w:rFonts w:ascii="Arial" w:hAnsi="Arial" w:cs="Arial"/>
      <w:sz w:val="24"/>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DF532B"/>
    <w:rPr>
      <w:rFonts w:ascii="Arial" w:hAnsi="Arial"/>
      <w:b/>
      <w:sz w:val="24"/>
      <w:szCs w:val="24"/>
    </w:rPr>
  </w:style>
  <w:style w:type="character" w:customStyle="1" w:styleId="IQB-TeilaufgabensubtitelZchn">
    <w:name w:val="IQB-Teilaufgabensubtitel Zchn"/>
    <w:basedOn w:val="IQB-TeilaufgabentitelZchn"/>
    <w:link w:val="IQB-Teilaufgabensubtitel"/>
    <w:rsid w:val="001865A6"/>
    <w:rPr>
      <w:rFonts w:ascii="Arial" w:hAnsi="Arial"/>
      <w:b/>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CF32DF"/>
    <w:rPr>
      <w:sz w:val="22"/>
      <w:szCs w:val="22"/>
    </w:rPr>
  </w:style>
  <w:style w:type="character" w:customStyle="1" w:styleId="IQB-AufgabensubtitelZchn">
    <w:name w:val="IQB-Aufgabensubtitel Zchn"/>
    <w:basedOn w:val="IQB-TeilaufgabentitelZchn"/>
    <w:link w:val="IQB-Aufgabensubtitel"/>
    <w:rsid w:val="0018477B"/>
    <w:rPr>
      <w:rFonts w:ascii="Arial" w:hAnsi="Arial"/>
      <w:b/>
      <w:sz w:val="24"/>
      <w:szCs w:val="24"/>
    </w:rPr>
  </w:style>
  <w:style w:type="paragraph" w:customStyle="1" w:styleId="IQB-Merkmalswert">
    <w:name w:val="IQB-Merkmalswert"/>
    <w:basedOn w:val="IQB-Standard"/>
    <w:link w:val="IQB-MerkmalswertZchn"/>
    <w:qFormat/>
    <w:rsid w:val="00CF32DF"/>
  </w:style>
  <w:style w:type="character" w:customStyle="1" w:styleId="IQB-MerkmalZchn">
    <w:name w:val="IQB-Merkmal Zchn"/>
    <w:basedOn w:val="IQB-TeilaufgabentitelZchn"/>
    <w:link w:val="IQB-Merkmal"/>
    <w:rsid w:val="0018477B"/>
    <w:rPr>
      <w:rFonts w:ascii="Arial" w:hAnsi="Arial"/>
      <w:b/>
      <w:sz w:val="22"/>
      <w:szCs w:val="22"/>
    </w:rPr>
  </w:style>
  <w:style w:type="character" w:customStyle="1" w:styleId="IQB-MerkmalswertZchn">
    <w:name w:val="IQB-Merkmalswert Zchn"/>
    <w:basedOn w:val="IQB-MerkmalZchn"/>
    <w:link w:val="IQB-Merkmalswert"/>
    <w:rsid w:val="0018477B"/>
    <w:rPr>
      <w:rFonts w:ascii="Arial" w:hAnsi="Arial"/>
      <w:b/>
      <w:sz w:val="24"/>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IQB-RSExample2">
    <w:name w:val="IQB-RSExample2"/>
    <w:basedOn w:val="IQB-RSExample"/>
    <w:link w:val="IQB-RSExample2Zchn"/>
    <w:qFormat/>
    <w:rsid w:val="000442E9"/>
    <w:pPr>
      <w:numPr>
        <w:numId w:val="0"/>
      </w:numPr>
      <w:spacing w:before="0"/>
      <w:ind w:left="170"/>
    </w:pPr>
  </w:style>
  <w:style w:type="character" w:customStyle="1" w:styleId="IQB-RSExample2Zchn">
    <w:name w:val="IQB-RSExample2 Zchn"/>
    <w:basedOn w:val="IQB-RSExampleZchn"/>
    <w:link w:val="IQB-RSExample2"/>
    <w:rsid w:val="000442E9"/>
    <w:rPr>
      <w:rFonts w:ascii="Arial" w:hAnsi="Arial" w:cs="Arial"/>
      <w:sz w:val="24"/>
      <w:szCs w:val="24"/>
    </w:rPr>
  </w:style>
  <w:style w:type="paragraph" w:customStyle="1" w:styleId="IQB-Blocktitel">
    <w:name w:val="IQB-Blocktitel"/>
    <w:basedOn w:val="berschrift1"/>
    <w:next w:val="IQB-Aufgabentitel"/>
    <w:link w:val="IQB-BlocktitelZchn"/>
    <w:qFormat/>
    <w:rsid w:val="00E0788B"/>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E0788B"/>
    <w:rPr>
      <w:rFonts w:ascii="Arial" w:eastAsiaTheme="majorEastAsia" w:hAnsi="Arial" w:cs="Arial"/>
      <w:b/>
      <w:bCs/>
      <w:color w:val="365F91" w:themeColor="accent1" w:themeShade="B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w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CB318A-34D1-41E2-B9F4-31FB458478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205</Words>
  <Characters>1186</Characters>
  <Application>Microsoft Office Word</Application>
  <DocSecurity>0</DocSecurity>
  <Lines>56</Lines>
  <Paragraphs>42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3</cp:revision>
  <cp:lastPrinted>2012-12-11T10:05:00Z</cp:lastPrinted>
  <dcterms:created xsi:type="dcterms:W3CDTF">2025-07-23T12:03:00Z</dcterms:created>
  <dcterms:modified xsi:type="dcterms:W3CDTF">2025-07-23T12:32:00Z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_online Auswertungen Hauptdurchgang VERA; krugerst; 17.07.2025</vt:lpwstr>
  </property>
</Properties>
</file>