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D0D" w:rsidRDefault="00DB2544" w:rsidP="00DB2544">
      <w:pPr>
        <w:pStyle w:val="IQB-Aufgabentitel"/>
        <w:pBdr>
          <w:top w:val="none" w:sz="0" w:space="0" w:color="auto"/>
          <w:bottom w:val="none" w:sz="0" w:space="0" w:color="auto"/>
        </w:pBdr>
      </w:pPr>
      <w:r>
        <w:rPr>
          <w:sz w:val="28"/>
        </w:rPr>
        <w:t xml:space="preserve">Auswertung – </w:t>
      </w:r>
      <w:r w:rsidRPr="00DB2544">
        <w:rPr>
          <w:sz w:val="28"/>
          <w:szCs w:val="28"/>
        </w:rPr>
        <w:t>Dreieck im Quadrat</w:t>
      </w:r>
    </w:p>
    <w:p w:rsidR="00AE7D0D" w:rsidRDefault="00DB2544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E7D0D">
        <w:tc>
          <w:tcPr>
            <w:tcW w:w="1247" w:type="dxa"/>
            <w:vAlign w:val="center"/>
          </w:tcPr>
          <w:p w:rsidR="00AE7D0D" w:rsidRDefault="00DB254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E7D0D" w:rsidRDefault="00DB2544">
            <w:pPr>
              <w:pStyle w:val="IQB-RSNormal"/>
            </w:pPr>
            <w:r>
              <w:t>16</w:t>
            </w:r>
          </w:p>
        </w:tc>
      </w:tr>
    </w:tbl>
    <w:p w:rsidR="00AE7D0D" w:rsidRDefault="00DB2544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E7D0D">
        <w:tc>
          <w:tcPr>
            <w:tcW w:w="1247" w:type="dxa"/>
            <w:vAlign w:val="center"/>
          </w:tcPr>
          <w:p w:rsidR="00AE7D0D" w:rsidRDefault="00DB254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E7D0D" w:rsidRDefault="00DB2544">
            <w:pPr>
              <w:pStyle w:val="IQB-RSNormal"/>
            </w:pPr>
            <w:r>
              <w:t>4. Kästchen wurde angekreuzt</w:t>
            </w:r>
          </w:p>
        </w:tc>
      </w:tr>
    </w:tbl>
    <w:p w:rsidR="00AE7D0D" w:rsidRDefault="00DB2544">
      <w:pPr>
        <w:pStyle w:val="IQB-Teilaufgabentitel"/>
      </w:pPr>
      <w:r>
        <w:t>Teilaufgabe 3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E7D0D">
        <w:tc>
          <w:tcPr>
            <w:tcW w:w="1247" w:type="dxa"/>
            <w:vAlign w:val="center"/>
          </w:tcPr>
          <w:p w:rsidR="00AE7D0D" w:rsidRDefault="00DB254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E7D0D" w:rsidRDefault="00DB2544">
            <w:pPr>
              <w:pStyle w:val="IQB-RSNormal"/>
            </w:pPr>
            <w:r>
              <w:t>Nein</w:t>
            </w:r>
          </w:p>
          <w:p w:rsidR="00AE7D0D" w:rsidRDefault="00AE7D0D"/>
          <w:p w:rsidR="00AE7D0D" w:rsidRDefault="00DB2544">
            <w:pPr>
              <w:pStyle w:val="IQB-RSNormal"/>
            </w:pPr>
            <w:r>
              <w:t xml:space="preserve">UND </w:t>
            </w:r>
          </w:p>
          <w:p w:rsidR="00AE7D0D" w:rsidRDefault="00AE7D0D"/>
          <w:p w:rsidR="00AE7D0D" w:rsidRDefault="00DB2544">
            <w:pPr>
              <w:pStyle w:val="IQB-RSNormal"/>
            </w:pPr>
            <w:r>
              <w:t xml:space="preserve">Begründung, dass die graue Fläche stets halb so groß ist wie die gesamte Quadratfläche </w:t>
            </w:r>
          </w:p>
          <w:p w:rsidR="00AE7D0D" w:rsidRDefault="00DB2544">
            <w:pPr>
              <w:pStyle w:val="IQB-RSNormal"/>
            </w:pPr>
            <w:r>
              <w:t xml:space="preserve">ODER </w:t>
            </w:r>
          </w:p>
          <w:p w:rsidR="00AE7D0D" w:rsidRDefault="00DB2544">
            <w:pPr>
              <w:pStyle w:val="IQB-RSNormal"/>
            </w:pPr>
            <w:r>
              <w:t>Begründung, dass die Summe der Flächeninhalte der Folge-Dreiecke stets so groß ist wie der Flächeninhalt des Vorgänger-Dreiecks.</w:t>
            </w:r>
          </w:p>
          <w:p w:rsidR="00AE7D0D" w:rsidRDefault="00AE7D0D"/>
          <w:p w:rsidR="00AE7D0D" w:rsidRDefault="00DB2544">
            <w:pPr>
              <w:pStyle w:val="IQB-RSNormal"/>
            </w:pPr>
            <w:r>
              <w:t>Beispiel(e)</w:t>
            </w:r>
          </w:p>
          <w:p w:rsidR="00AE7D0D" w:rsidRDefault="00DB2544">
            <w:pPr>
              <w:pStyle w:val="IQB-RSExample"/>
            </w:pPr>
            <w:r>
              <w:t>In jedem Teilquadrat</w:t>
            </w:r>
            <w:r>
              <w:t xml:space="preserve"> ist immer genau die Hälfte der Flächeninhalte grau, die andere Hälfte ist weiß. Dies bleibt auch bei Vergrößerung der Anzahl der Quadrate erhalten.</w:t>
            </w:r>
          </w:p>
        </w:tc>
      </w:tr>
    </w:tbl>
    <w:p w:rsidR="00000000" w:rsidRDefault="00DB2544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E7D0D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2544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CB5E71"/>
  <w15:docId w15:val="{21E823D7-E45C-46F7-A513-A26B7B777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32034-BDD2-45D0-AC0A-37EFC492F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2024-03-11T12:01:00Z</dcterms:created>
  <dcterms:modified xsi:type="dcterms:W3CDTF">2024-03-21T10:47:00Z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