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1CEE" w:rsidRDefault="0043632F">
      <w:pPr>
        <w:pStyle w:val="IQB-Aufgabentitel"/>
      </w:pPr>
      <w:r>
        <w:t>Durch 1001 teilbar</w:t>
      </w:r>
    </w:p>
    <w:p w:rsidR="00F750CC" w:rsidRDefault="0043632F">
      <w:r>
        <w:rPr>
          <w:noProof/>
        </w:rPr>
        <w:drawing>
          <wp:inline distT="0" distB="0" distL="0" distR="0">
            <wp:extent cx="6114415" cy="5359400"/>
            <wp:effectExtent l="0" t="0" r="63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5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DE356B">
        <w:rPr>
          <w:noProof/>
        </w:rPr>
        <w:drawing>
          <wp:inline distT="0" distB="0" distL="0" distR="0">
            <wp:extent cx="585724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50CC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363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31CE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56B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750CC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A494F3F8-12DB-4253-83BC-433DACCCD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177CC-917D-41A3-97EA-8BA4A0E30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2024-03-11T12:01:00Z</dcterms:created>
  <dcterms:modified xsi:type="dcterms:W3CDTF">2024-04-03T08:13:00Z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