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3f3f3bed52740e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SMS</w:t>
      </w:r>
    </w:p>
    <w:p>
      <w:pPr>
        <w:pStyle w:val="IQB-Aufgabengrafik"/>
      </w:pPr>
      <w:r>
        <w:drawing>
          <wp:inline distT="0" distB="0" distL="0" distR="0">
            <wp:extent cx="5086350" cy="59150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8974d2936c9433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105400" cy="34861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b007e9a638d4ead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086350" cy="36766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797837ad0894bad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086350" cy="34861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27f4751be3547cc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8974d2936c94339" /><Relationship Type="http://schemas.openxmlformats.org/officeDocument/2006/relationships/image" Target="/media/image2.emf" Id="R8b007e9a638d4ead" /><Relationship Type="http://schemas.openxmlformats.org/officeDocument/2006/relationships/image" Target="/media/image3.emf" Id="Re797837ad0894bad" /><Relationship Type="http://schemas.openxmlformats.org/officeDocument/2006/relationships/image" Target="/media/image4.emf" Id="R127f4751be3547c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_online: Aufgaben Hauptdurchgang VERA; gabelmaj; 14.08.2013</vt:lpwstr>
  </op:property>
</op:Properties>
</file>