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D7F" w:rsidRDefault="00707200" w:rsidP="00707200">
      <w:pPr>
        <w:spacing w:after="261" w:line="360" w:lineRule="auto"/>
      </w:pPr>
      <w:r>
        <w:rPr>
          <w:rFonts w:ascii="Arial" w:eastAsia="Arial" w:hAnsi="Arial" w:cs="Arial"/>
          <w:sz w:val="30"/>
        </w:rPr>
        <w:t>Di</w:t>
      </w:r>
      <w:r>
        <w:rPr>
          <w:rFonts w:ascii="Arial" w:eastAsia="Arial" w:hAnsi="Arial" w:cs="Arial"/>
          <w:sz w:val="30"/>
        </w:rPr>
        <w:t xml:space="preserve">daktische Handreichung: Satzglieder </w:t>
      </w: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721424</wp:posOffset>
            </wp:positionH>
            <wp:positionV relativeFrom="page">
              <wp:posOffset>262699</wp:posOffset>
            </wp:positionV>
            <wp:extent cx="4108704" cy="274320"/>
            <wp:effectExtent l="0" t="0" r="0" b="0"/>
            <wp:wrapTopAndBottom/>
            <wp:docPr id="1456" name="Picture 14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" name="Picture 145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8704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7D7F" w:rsidRDefault="00707200" w:rsidP="00707200">
      <w:pPr>
        <w:spacing w:after="0" w:line="360" w:lineRule="auto"/>
        <w:ind w:left="-5" w:hanging="10"/>
      </w:pPr>
      <w:r>
        <w:rPr>
          <w:rFonts w:ascii="Arial" w:eastAsia="Arial" w:hAnsi="Arial" w:cs="Arial"/>
          <w:sz w:val="26"/>
        </w:rPr>
        <w:t>A</w:t>
      </w:r>
      <w:r>
        <w:rPr>
          <w:rFonts w:ascii="Arial" w:eastAsia="Arial" w:hAnsi="Arial" w:cs="Arial"/>
          <w:sz w:val="26"/>
        </w:rPr>
        <w:t xml:space="preserve">ufgabenbeschreibung </w:t>
      </w:r>
    </w:p>
    <w:tbl>
      <w:tblPr>
        <w:tblStyle w:val="TableGrid"/>
        <w:tblW w:w="9252" w:type="dxa"/>
        <w:tblInd w:w="-72" w:type="dxa"/>
        <w:tblCellMar>
          <w:top w:w="48" w:type="dxa"/>
          <w:left w:w="72" w:type="dxa"/>
          <w:bottom w:w="0" w:type="dxa"/>
          <w:right w:w="11" w:type="dxa"/>
        </w:tblCellMar>
        <w:tblLook w:val="04A0" w:firstRow="1" w:lastRow="0" w:firstColumn="1" w:lastColumn="0" w:noHBand="0" w:noVBand="1"/>
      </w:tblPr>
      <w:tblGrid>
        <w:gridCol w:w="1332"/>
        <w:gridCol w:w="1440"/>
        <w:gridCol w:w="2520"/>
        <w:gridCol w:w="2160"/>
        <w:gridCol w:w="1800"/>
      </w:tblGrid>
      <w:tr w:rsidR="00507D7F">
        <w:trPr>
          <w:trHeight w:val="264"/>
        </w:trPr>
        <w:tc>
          <w:tcPr>
            <w:tcW w:w="529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Satzglieder </w:t>
            </w:r>
          </w:p>
        </w:tc>
        <w:tc>
          <w:tcPr>
            <w:tcW w:w="216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507D7F" w:rsidRDefault="00507D7F"/>
        </w:tc>
        <w:tc>
          <w:tcPr>
            <w:tcW w:w="180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07D7F" w:rsidRDefault="00507D7F"/>
        </w:tc>
      </w:tr>
      <w:tr w:rsidR="00507D7F">
        <w:trPr>
          <w:trHeight w:val="264"/>
        </w:trPr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Thema 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Textsorte </w:t>
            </w: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Textbeschreibung 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Fokus 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Format </w:t>
            </w:r>
          </w:p>
        </w:tc>
      </w:tr>
      <w:tr w:rsidR="00507D7F">
        <w:trPr>
          <w:trHeight w:val="1020"/>
        </w:trPr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</w:rPr>
              <w:t xml:space="preserve">Reflexion von syntaktisch en Mitteln 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  <w:jc w:val="both"/>
            </w:pPr>
            <w:r>
              <w:rPr>
                <w:rFonts w:ascii="Arial" w:eastAsia="Arial" w:hAnsi="Arial" w:cs="Arial"/>
              </w:rPr>
              <w:t>Beispielsä</w:t>
            </w:r>
            <w:bookmarkStart w:id="0" w:name="_GoBack"/>
            <w:bookmarkEnd w:id="0"/>
            <w:r>
              <w:rPr>
                <w:rFonts w:ascii="Arial" w:eastAsia="Arial" w:hAnsi="Arial" w:cs="Arial"/>
              </w:rPr>
              <w:t>tze</w:t>
            </w:r>
            <w:r>
              <w:rPr>
                <w:rFonts w:ascii="Arial" w:eastAsia="Arial" w:hAnsi="Arial" w:cs="Arial"/>
                <w:b/>
                <w:color w:val="FF0000"/>
              </w:rPr>
              <w:t xml:space="preserve"> </w:t>
            </w: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</w:rPr>
              <w:t>Komplexe Sätze</w:t>
            </w:r>
            <w:r>
              <w:rPr>
                <w:rFonts w:ascii="Arial" w:eastAsia="Arial" w:hAnsi="Arial" w:cs="Arial"/>
                <w:b/>
                <w:color w:val="FF0000"/>
              </w:rPr>
              <w:t xml:space="preserve"> 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</w:rPr>
              <w:t xml:space="preserve">Satzstrukturen kennen und zuordnen 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7D7F" w:rsidRDefault="00707200">
            <w:pPr>
              <w:spacing w:after="0"/>
            </w:pPr>
            <w:r>
              <w:rPr>
                <w:rFonts w:ascii="Arial" w:eastAsia="Arial" w:hAnsi="Arial" w:cs="Arial"/>
              </w:rPr>
              <w:t xml:space="preserve">1 Item GK </w:t>
            </w:r>
          </w:p>
        </w:tc>
      </w:tr>
    </w:tbl>
    <w:p w:rsidR="00707200" w:rsidRDefault="00707200" w:rsidP="00707200">
      <w:pPr>
        <w:spacing w:before="240" w:after="0"/>
        <w:ind w:left="-5" w:hanging="10"/>
        <w:rPr>
          <w:b/>
          <w:sz w:val="26"/>
        </w:rPr>
      </w:pPr>
      <w:r w:rsidRPr="00707200">
        <w:rPr>
          <w:rFonts w:ascii="Arial" w:eastAsia="Arial" w:hAnsi="Arial" w:cs="Arial"/>
          <w:b/>
          <w:sz w:val="26"/>
        </w:rPr>
        <w:t xml:space="preserve">Aufgabenbezogener Kommentar </w:t>
      </w:r>
    </w:p>
    <w:p w:rsidR="00507D7F" w:rsidRPr="00707200" w:rsidRDefault="00707200" w:rsidP="00707200">
      <w:pPr>
        <w:spacing w:before="240" w:after="189"/>
        <w:ind w:left="-5" w:hanging="10"/>
        <w:rPr>
          <w:b/>
        </w:rPr>
      </w:pPr>
      <w:r>
        <w:rPr>
          <w:rFonts w:ascii="Arial" w:eastAsia="Arial" w:hAnsi="Arial" w:cs="Arial"/>
        </w:rPr>
        <w:t>Bei dieser Zuordnungsaufgabe müssen die Schülerinnen und Schüler sechs mögliche Satzstrukturen den drei Beispielsätzen zuordnen, was eine Erschwernis gegenüber nur drei Antwortmöglichkeiten bedeutet. Die selbstständige Anwendung vorhandenen Wissens auf ein</w:t>
      </w:r>
      <w:r>
        <w:rPr>
          <w:rFonts w:ascii="Arial" w:eastAsia="Arial" w:hAnsi="Arial" w:cs="Arial"/>
        </w:rPr>
        <w:t xml:space="preserve">e unbekannte Aufgabe ist dem Anforderungsbereich II zuzuordnen, die Aufgabe ist schwer. (Quelle: Eigener Text) </w:t>
      </w:r>
    </w:p>
    <w:p w:rsidR="00507D7F" w:rsidRDefault="00707200">
      <w:pPr>
        <w:spacing w:after="0"/>
        <w:ind w:right="4"/>
        <w:jc w:val="right"/>
      </w:pPr>
      <w:r>
        <w:rPr>
          <w:rFonts w:ascii="Arial" w:eastAsia="Arial" w:hAnsi="Arial" w:cs="Arial"/>
          <w:sz w:val="24"/>
        </w:rPr>
        <w:t xml:space="preserve"> </w:t>
      </w:r>
    </w:p>
    <w:sectPr w:rsidR="00507D7F">
      <w:pgSz w:w="11908" w:h="16836"/>
      <w:pgMar w:top="1440" w:right="1415" w:bottom="1440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D7F"/>
    <w:rsid w:val="00507D7F"/>
    <w:rsid w:val="0070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8DFF"/>
  <w15:docId w15:val="{717CA5E7-B906-4472-A68C-E5AC6DCCA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Aufgabe: Artensterben</vt:lpstr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Aufgabe: Artensterben</dc:title>
  <dc:subject/>
  <dc:creator>meitinga</dc:creator>
  <cp:keywords/>
  <cp:lastModifiedBy>Britta Bomhauer</cp:lastModifiedBy>
  <cp:revision>2</cp:revision>
  <dcterms:created xsi:type="dcterms:W3CDTF">2020-11-20T15:29:00Z</dcterms:created>
  <dcterms:modified xsi:type="dcterms:W3CDTF">2020-11-20T15:29:00Z</dcterms:modified>
</cp:coreProperties>
</file>