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894c1afac23442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das dass begründen</w:t>
      </w:r>
    </w:p>
    <w:p>
      <w:pPr>
        <w:pStyle w:val="IQB-Teilaufgabengrafik"/>
      </w:pPr>
      <w:r>
        <w:drawing>
          <wp:inline distT="0" distB="0" distL="0" distR="0">
            <wp:extent cx="5832000" cy="50055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72e1f4597324cb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0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drawing>
          <wp:inline distT="0" distB="0" distL="0" distR="0">
            <wp:extent cx="5832000" cy="786422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1bf749ad26b4b0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86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72e1f4597324cb3" /><Relationship Type="http://schemas.openxmlformats.org/officeDocument/2006/relationships/image" Target="/media/image2.emf" Id="R51bf749ad26b4b0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2020-11-05T16:41:12.0437029Z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