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f5aee5b919e4e9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Zifferntausch</w:t>
      </w:r>
    </w:p>
    <w:p>
      <w:pPr>
        <w:pStyle w:val="IQB-Aufgabengrafik"/>
      </w:pPr>
      <w:r>
        <w:drawing>
          <wp:inline distT="0" distB="0" distL="0" distR="0">
            <wp:extent cx="5760000" cy="82152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d470b72ecab40cb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821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106983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2eef55186fb42f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69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d470b72ecab40cb" /><Relationship Type="http://schemas.openxmlformats.org/officeDocument/2006/relationships/image" Target="/media/image2.emf" Id="R62eef55186fb42f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2023-06-16T08:26:32.3779479Z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