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CD5" w:rsidRDefault="00293E55">
      <w:pPr>
        <w:pStyle w:val="IQB-Aufgabentitel"/>
      </w:pPr>
      <w:r>
        <w:t>Dreiecke und Vierecke ankreuzen</w:t>
      </w:r>
    </w:p>
    <w:p w:rsidR="009F3CD5" w:rsidRDefault="00293E55" w:rsidP="00293E55">
      <w:pPr>
        <w:pStyle w:val="IQB-Teilaufgabengrafik"/>
      </w:pPr>
      <w:r>
        <w:rPr>
          <w:noProof/>
        </w:rPr>
        <w:drawing>
          <wp:inline distT="0" distB="0" distL="0" distR="0">
            <wp:extent cx="5832000" cy="5339688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33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3CD5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3E55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9F3CD5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0365621"/>
  <w15:docId w15:val="{442EED86-5C65-4057-B509-9C7CC5081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92357-8651-42BB-812F-005D75524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2020-09-01T06:34:00Z</dcterms:created>
  <dcterms:modified xsi:type="dcterms:W3CDTF">2020-09-01T07:48:00Z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