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7a934e3319940c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Holzstäbchen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3. Figur wurde korrekt eingezeichnet (vgl. Lösungsbeispiel).</w:t>
            </w:r>
          </w:p>
          <w:p>
            <w:pPr>
              <w:pStyle w:val="IQB-RSNormal"/>
            </w:pPr>
            <w:r>
              <w:t xml:space="preserve">Skizzenhafte oder spiegelverkehrte Darstellung ist auch als richtig zu werten, wenn das Muster zu erkennen ist.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0102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be328a8db9d741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0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 x 3 + 1 = 13 ODER 1 + 4 x 3 = 13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5. Figur wurde korrekt eingezeichnet (vgl. Lösungsbeispiel).</w:t>
            </w:r>
          </w:p>
          <w:p>
            <w:pPr>
              <w:pStyle w:val="IQB-RSNormal"/>
            </w:pPr>
            <w:r>
              <w:t xml:space="preserve">Skizzenhafte oder spiegelverkehrte Darstellung ist auch als richtig zu werten, wenn das Muster zu erkennen ist.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401026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c8084ee44e134ba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40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IQB-RSNormal"/>
            </w:pPr>
            <w:r>
              <w:t xml:space="preserve">UND Rechnung korrekt angegeben: 5 x 3 + 1 = 16 ODER 1 + 5 x 3 = 16</w:t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Example"/>
            </w:pPr>
            <w:r>
              <w:t xml:space="preserve">3</w:t>
            </w:r>
          </w:p>
          <w:p>
            <w:pPr>
              <w:pStyle w:val="IQB-RSExample"/>
            </w:pPr>
            <w:r>
              <w:t xml:space="preserve">drei</w:t>
            </w:r>
          </w:p>
          <w:p>
            <w:pPr>
              <w:pStyle w:val="IQB-RSExample"/>
            </w:pPr>
            <w:r>
              <w:t xml:space="preserve">Alle Umschreibungen, die die Zahl 3 beinhalten: z. B. zwei Hölzchen quer/waagerecht und eins längs/senkrecht kommen immer dazu/werden angelegt.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e328a8db9d74106" /><Relationship Type="http://schemas.openxmlformats.org/officeDocument/2006/relationships/image" Target="/media/image2.emf" Id="Rc8084ee44e134ba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2020-12-16T09:13:20.0601066Z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