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E10" w:rsidRDefault="005F779D" w:rsidP="005F779D">
      <w:pPr>
        <w:pStyle w:val="IQB-Aufgabentitel"/>
      </w:pPr>
      <w:r>
        <w:t>Haustiere Gewicht vergleichen</w:t>
      </w:r>
      <w:bookmarkStart w:id="0" w:name="_GoBack"/>
      <w:bookmarkEnd w:id="0"/>
    </w:p>
    <w:p w:rsidR="00246E10" w:rsidRDefault="005F779D" w:rsidP="005F779D">
      <w:pPr>
        <w:pStyle w:val="IQB-Teilaufgabengrafik"/>
      </w:pPr>
      <w:r>
        <w:rPr>
          <w:noProof/>
        </w:rPr>
        <w:drawing>
          <wp:inline distT="0" distB="0" distL="0" distR="0">
            <wp:extent cx="5832000" cy="3427247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42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6E10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46E10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5F779D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4C4DC4"/>
  <w15:docId w15:val="{D0348C1D-7D7A-423C-AF62-6109511C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8141A-9780-4314-997A-1D2DF118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2020-09-01T06:34:00Z</dcterms:created>
  <dcterms:modified xsi:type="dcterms:W3CDTF">2020-09-01T07:52:00Z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