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903c2a58b34447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Gewinnchance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Begründung muss sinngemäß folgende Elemente enthalten:</w:t>
            </w:r>
          </w:p>
          <w:p>
            <w:pPr>
              <w:pStyle w:val="IQB-RSExample"/>
            </w:pPr>
            <w:r>
              <w:t xml:space="preserve">Beim Würfeln gibt es eine Möglichkeit zu gewinnen (die 6 werfen) und fünf Möglichkeiten zu verlieren (alle anderen Zahlen).</w:t>
            </w:r>
          </w:p>
          <w:p>
            <w:pPr>
              <w:pStyle w:val="IQB-RSExample"/>
            </w:pPr>
            <w:r>
              <w:t xml:space="preserve">Beim Werfen der Münze gibt es eine Möglichkeit zu gewinnen (die Zahl liegt oben) und eine Möglichkeit zu verlieren (das Wappen/der Kopf o.ä. liegt oben).</w:t>
            </w:r>
          </w:p>
          <w:p>
            <w:pPr>
              <w:pStyle w:val="IQB-RSExample"/>
            </w:pPr>
            <w:r>
              <w:t xml:space="preserve">Also sind beim Münzenwerfen die Gewinnchancen größer.</w:t>
            </w:r>
          </w:p>
          <w:p>
            <w:pPr>
              <w:pStyle w:val="IQB-RSNormal"/>
            </w:pPr>
            <w:r>
              <w:t xml:space="preserve">d.h. Die Begründung muss einen Vergleich erkennen lassen, z. B.</w:t>
            </w:r>
          </w:p>
          <w:p>
            <w:pPr>
              <w:pStyle w:val="IQB-RSExample"/>
            </w:pPr>
            <w:r>
              <w:t xml:space="preserve">Die Münze, weil sie bloß zwei Seiten hat.</w:t>
            </w:r>
          </w:p>
          <w:p>
            <w:pPr>
              <w:pStyle w:val="IQB-RSExample"/>
            </w:pPr>
            <w:r>
              <w:t xml:space="preserve">Bei Münzen sind es bessere Gewinnchancen, weil...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2020-12-14T12:10:41.4897828Z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