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BC326" w14:textId="77777777" w:rsidR="00D86844" w:rsidRPr="00EC3F46" w:rsidRDefault="00F67384" w:rsidP="00F67384">
      <w:pPr>
        <w:rPr>
          <w:rFonts w:ascii="Arial" w:hAnsi="Arial" w:cs="Arial"/>
          <w:sz w:val="28"/>
        </w:rPr>
      </w:pPr>
      <w:r>
        <w:rPr>
          <w:rFonts w:ascii="Arial" w:hAnsi="Arial" w:cs="Arial"/>
          <w:sz w:val="28"/>
        </w:rPr>
        <w:t xml:space="preserve">Didaktische Handreichung: </w:t>
      </w:r>
      <w:r w:rsidR="0003275F">
        <w:rPr>
          <w:rFonts w:ascii="Arial" w:hAnsi="Arial" w:cs="Arial"/>
          <w:sz w:val="28"/>
        </w:rPr>
        <w:t>G</w:t>
      </w:r>
      <w:r w:rsidR="009E23B9" w:rsidRPr="009E23B9">
        <w:rPr>
          <w:rFonts w:ascii="Arial" w:hAnsi="Arial" w:cs="Arial"/>
          <w:sz w:val="28"/>
          <w:szCs w:val="28"/>
        </w:rPr>
        <w:t>roß oder klein?</w:t>
      </w:r>
    </w:p>
    <w:p w14:paraId="27CA5CE0" w14:textId="77777777" w:rsidR="009E23B9" w:rsidRDefault="009E23B9" w:rsidP="00300D58">
      <w:pPr>
        <w:pStyle w:val="IQB-Aufgabensubtitel"/>
      </w:pPr>
      <w: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4"/>
      </w:tblGrid>
      <w:tr w:rsidR="009E23B9" w14:paraId="463CF136" w14:textId="77777777" w:rsidTr="00CA4E63">
        <w:tc>
          <w:tcPr>
            <w:tcW w:w="1984" w:type="dxa"/>
            <w:vAlign w:val="center"/>
          </w:tcPr>
          <w:p w14:paraId="1959CF93" w14:textId="77777777" w:rsidR="009E23B9" w:rsidRDefault="009E23B9" w:rsidP="00300D58">
            <w:pPr>
              <w:pStyle w:val="IQB-Merkmal"/>
            </w:pPr>
            <w:r>
              <w:t>Thema</w:t>
            </w:r>
          </w:p>
        </w:tc>
        <w:tc>
          <w:tcPr>
            <w:tcW w:w="7086" w:type="dxa"/>
          </w:tcPr>
          <w:p w14:paraId="257CF7D8" w14:textId="77777777" w:rsidR="009E23B9" w:rsidRPr="009C744F" w:rsidRDefault="009E23B9" w:rsidP="00300D58">
            <w:pPr>
              <w:pStyle w:val="IQB-Merkmalswert"/>
              <w:rPr>
                <w:highlight w:val="yellow"/>
              </w:rPr>
            </w:pPr>
            <w:r>
              <w:t>Groß- und Kleinschreibung</w:t>
            </w:r>
          </w:p>
        </w:tc>
      </w:tr>
      <w:tr w:rsidR="009E23B9" w14:paraId="3537EE77" w14:textId="77777777" w:rsidTr="00CA4E63">
        <w:tc>
          <w:tcPr>
            <w:tcW w:w="1984" w:type="dxa"/>
            <w:vAlign w:val="center"/>
          </w:tcPr>
          <w:p w14:paraId="2AFE72FE" w14:textId="77777777" w:rsidR="009E23B9" w:rsidRDefault="009E23B9" w:rsidP="00300D58">
            <w:pPr>
              <w:pStyle w:val="IQB-Merkmal"/>
            </w:pPr>
            <w:r>
              <w:t>Textsorte</w:t>
            </w:r>
          </w:p>
        </w:tc>
        <w:tc>
          <w:tcPr>
            <w:tcW w:w="7086" w:type="dxa"/>
          </w:tcPr>
          <w:p w14:paraId="7E8E53F6" w14:textId="77777777" w:rsidR="009E23B9" w:rsidRPr="009C744F" w:rsidRDefault="009E23B9" w:rsidP="00300D58">
            <w:pPr>
              <w:pStyle w:val="IQB-Merkmalswert"/>
              <w:rPr>
                <w:highlight w:val="yellow"/>
              </w:rPr>
            </w:pPr>
            <w:r>
              <w:t>isoliertes Satzmaterial in einer Tabelle</w:t>
            </w:r>
          </w:p>
        </w:tc>
      </w:tr>
      <w:tr w:rsidR="009E23B9" w14:paraId="733CF6A2" w14:textId="77777777" w:rsidTr="00CA4E63">
        <w:tc>
          <w:tcPr>
            <w:tcW w:w="1984" w:type="dxa"/>
            <w:vAlign w:val="center"/>
          </w:tcPr>
          <w:p w14:paraId="3DC42CDD" w14:textId="77777777" w:rsidR="009E23B9" w:rsidRDefault="009E23B9" w:rsidP="00300D58">
            <w:pPr>
              <w:pStyle w:val="IQB-Merkmal"/>
            </w:pPr>
            <w:r>
              <w:t>Aufgabenbeschreibung</w:t>
            </w:r>
          </w:p>
        </w:tc>
        <w:tc>
          <w:tcPr>
            <w:tcW w:w="7086" w:type="dxa"/>
          </w:tcPr>
          <w:p w14:paraId="29F9E7C3" w14:textId="77777777" w:rsidR="009E23B9" w:rsidRPr="00300D58" w:rsidRDefault="009E23B9" w:rsidP="00CA4E63">
            <w:pPr>
              <w:autoSpaceDE w:val="0"/>
              <w:autoSpaceDN w:val="0"/>
              <w:adjustRightInd w:val="0"/>
              <w:rPr>
                <w:rFonts w:ascii="Arial" w:hAnsi="Arial" w:cs="Arial"/>
                <w:highlight w:val="yellow"/>
              </w:rPr>
            </w:pPr>
            <w:r w:rsidRPr="00300D58">
              <w:rPr>
                <w:rFonts w:ascii="Arial" w:hAnsi="Arial" w:cs="Arial"/>
                <w:sz w:val="18"/>
                <w:szCs w:val="18"/>
              </w:rPr>
              <w:t>Die Aufgabe besteht aus einer knappen und einfach verständlichen Aufgabenstellung und einfachen Sätzen mit geläufigem Wortmaterial, für die jeweils zwei mögliche Schreibungen angegeben werden, von denen jeweils eine, die falsche, durchzustreichen ist.</w:t>
            </w:r>
          </w:p>
        </w:tc>
      </w:tr>
      <w:tr w:rsidR="009E23B9" w14:paraId="44F2ACF0" w14:textId="77777777" w:rsidTr="00CA4E63">
        <w:tc>
          <w:tcPr>
            <w:tcW w:w="1984" w:type="dxa"/>
            <w:vAlign w:val="center"/>
          </w:tcPr>
          <w:p w14:paraId="04CE9A0B" w14:textId="77777777" w:rsidR="009E23B9" w:rsidRDefault="009E23B9" w:rsidP="00300D58">
            <w:pPr>
              <w:pStyle w:val="IQB-Merkmal"/>
            </w:pPr>
            <w:r>
              <w:t>Fokus</w:t>
            </w:r>
          </w:p>
        </w:tc>
        <w:tc>
          <w:tcPr>
            <w:tcW w:w="7086" w:type="dxa"/>
          </w:tcPr>
          <w:p w14:paraId="04F84EC6" w14:textId="4380BEFC" w:rsidR="009E23B9" w:rsidRDefault="009E23B9" w:rsidP="00300D58">
            <w:pPr>
              <w:pStyle w:val="IQB-Merkmalswert"/>
            </w:pPr>
            <w:r>
              <w:t xml:space="preserve">Für MSA und HSA: </w:t>
            </w:r>
            <w:r w:rsidRPr="004B5173">
              <w:t>2.5.1</w:t>
            </w:r>
            <w:r>
              <w:t xml:space="preserve"> sowie nur für MSA: 2.M.5</w:t>
            </w:r>
            <w:r w:rsidR="007B67B6">
              <w:rPr>
                <w:rStyle w:val="Funotenzeichen"/>
              </w:rPr>
              <w:footnoteReference w:id="1"/>
            </w:r>
          </w:p>
        </w:tc>
      </w:tr>
    </w:tbl>
    <w:p w14:paraId="2CE15712" w14:textId="77777777" w:rsidR="009E23B9" w:rsidRDefault="009E23B9" w:rsidP="009E23B9"/>
    <w:p w14:paraId="5BD605E2" w14:textId="77777777" w:rsidR="009E23B9" w:rsidRDefault="009E23B9" w:rsidP="00300D58">
      <w:pPr>
        <w:pStyle w:val="IQB-Teilaufgabensubtitel"/>
      </w:pPr>
      <w:r>
        <w:t>Teilaufgabenmerkmale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4"/>
        <w:gridCol w:w="6189"/>
      </w:tblGrid>
      <w:tr w:rsidR="009E23B9" w14:paraId="2ED2BDDC" w14:textId="77777777" w:rsidTr="00CA4E63">
        <w:tc>
          <w:tcPr>
            <w:tcW w:w="1964" w:type="dxa"/>
            <w:vAlign w:val="center"/>
          </w:tcPr>
          <w:p w14:paraId="3CAC9FB8" w14:textId="77777777" w:rsidR="009E23B9" w:rsidRDefault="009E23B9" w:rsidP="00300D58">
            <w:pPr>
              <w:pStyle w:val="IQB-Merkmal"/>
            </w:pPr>
            <w:bookmarkStart w:id="0" w:name="_Hlk22803263"/>
            <w:r>
              <w:t>Bildungsstandard</w:t>
            </w:r>
          </w:p>
        </w:tc>
        <w:tc>
          <w:tcPr>
            <w:tcW w:w="6189" w:type="dxa"/>
          </w:tcPr>
          <w:p w14:paraId="45782FE8" w14:textId="77777777" w:rsidR="009E23B9" w:rsidRDefault="009E23B9" w:rsidP="00300D58">
            <w:pPr>
              <w:pStyle w:val="IQB-Merkmalswert"/>
            </w:pPr>
            <w:r>
              <w:t>HSA: Grundregeln der Rechtschreibung und Zeichensetzung kennen und anwenden // MSA: Grundregeln der Rechtschreibung und Zeichensetzung sicher beherrschen 2.5.1</w:t>
            </w:r>
          </w:p>
        </w:tc>
      </w:tr>
      <w:tr w:rsidR="009E23B9" w14:paraId="7BE52BAC" w14:textId="77777777" w:rsidTr="00CA4E63">
        <w:tc>
          <w:tcPr>
            <w:tcW w:w="1964" w:type="dxa"/>
            <w:vAlign w:val="center"/>
          </w:tcPr>
          <w:p w14:paraId="65CA6DF2" w14:textId="77777777" w:rsidR="009E23B9" w:rsidRDefault="009E23B9" w:rsidP="00300D58">
            <w:pPr>
              <w:pStyle w:val="IQB-Merkmal"/>
            </w:pPr>
            <w:r>
              <w:t>Kompetenzstufe</w:t>
            </w:r>
          </w:p>
        </w:tc>
        <w:tc>
          <w:tcPr>
            <w:tcW w:w="6189" w:type="dxa"/>
          </w:tcPr>
          <w:p w14:paraId="21E8D2A1" w14:textId="77777777" w:rsidR="009E23B9" w:rsidRDefault="009E23B9" w:rsidP="00300D58">
            <w:pPr>
              <w:pStyle w:val="IQB-Merkmalswert"/>
            </w:pPr>
            <w:r w:rsidRPr="00E9176D">
              <w:t>1.</w:t>
            </w:r>
            <w:r>
              <w:t>) IV, 2.) III, 3.) III, 4.) Ib</w:t>
            </w:r>
          </w:p>
        </w:tc>
      </w:tr>
      <w:tr w:rsidR="009E23B9" w14:paraId="6334FE66" w14:textId="77777777" w:rsidTr="00CA4E63">
        <w:tc>
          <w:tcPr>
            <w:tcW w:w="1964" w:type="dxa"/>
            <w:vAlign w:val="center"/>
          </w:tcPr>
          <w:p w14:paraId="21C966BD" w14:textId="77777777" w:rsidR="009E23B9" w:rsidRDefault="009E23B9" w:rsidP="00300D58">
            <w:pPr>
              <w:pStyle w:val="IQB-Merkmal"/>
            </w:pPr>
            <w:r>
              <w:t>Anforderungsbereich</w:t>
            </w:r>
          </w:p>
        </w:tc>
        <w:tc>
          <w:tcPr>
            <w:tcW w:w="6189" w:type="dxa"/>
          </w:tcPr>
          <w:p w14:paraId="467720E0" w14:textId="77777777" w:rsidR="009E23B9" w:rsidRDefault="009E23B9" w:rsidP="00300D58">
            <w:pPr>
              <w:pStyle w:val="IQB-Merkmalswert"/>
            </w:pPr>
            <w:r>
              <w:t>I</w:t>
            </w:r>
          </w:p>
        </w:tc>
      </w:tr>
    </w:tbl>
    <w:bookmarkEnd w:id="0"/>
    <w:p w14:paraId="031084C5" w14:textId="77777777" w:rsidR="009E23B9" w:rsidRDefault="009E23B9" w:rsidP="00300D58">
      <w:pPr>
        <w:pStyle w:val="IQB-Teilaufgabentitel"/>
      </w:pPr>
      <w:r w:rsidRPr="00D22BF7">
        <w:t>Aufgabenbezogener Kommentar</w:t>
      </w:r>
    </w:p>
    <w:p w14:paraId="2BC23AC1" w14:textId="77777777" w:rsidR="009E23B9" w:rsidRDefault="009E23B9" w:rsidP="00300D58">
      <w:pPr>
        <w:pStyle w:val="IQB-Standard"/>
      </w:pPr>
      <w:r>
        <w:t xml:space="preserve">Die Aufgabe ist auch dem Kompetenzbereich </w:t>
      </w:r>
      <w:r w:rsidRPr="00CF354E">
        <w:t>‚</w:t>
      </w:r>
      <w:r w:rsidRPr="00CF354E">
        <w:rPr>
          <w:iCs/>
        </w:rPr>
        <w:t>Sprache und Sprachgebrauch untersuchen‘</w:t>
      </w:r>
      <w:r>
        <w:t xml:space="preserve"> zuzuordnen, der quer zu den anderen Kompetenzbereichen im Fach Deutsch liegt, also auch zum Bereich ‚</w:t>
      </w:r>
      <w:r w:rsidRPr="00CF354E">
        <w:rPr>
          <w:iCs/>
        </w:rPr>
        <w:t>Orthografie</w:t>
      </w:r>
      <w:r>
        <w:rPr>
          <w:i/>
          <w:iCs/>
        </w:rPr>
        <w:t>‘</w:t>
      </w:r>
      <w:r>
        <w:t>. Weil orthografische Strukturen auch grammatisch fundiert sind, erfordert die Bearbeitung der Aufgabe einen (ggf. auch intuitiven) Zugriff auf grammatische Strukturen.</w:t>
      </w:r>
    </w:p>
    <w:p w14:paraId="5554D901" w14:textId="77777777" w:rsidR="009E23B9" w:rsidRPr="001D079A" w:rsidRDefault="009E23B9" w:rsidP="00300D58">
      <w:pPr>
        <w:pStyle w:val="IQB-Standard"/>
      </w:pPr>
      <w:r w:rsidRPr="001D079A">
        <w:t xml:space="preserve">Die </w:t>
      </w:r>
      <w:r>
        <w:t xml:space="preserve">Wörter in den </w:t>
      </w:r>
      <w:r w:rsidRPr="001D079A">
        <w:t xml:space="preserve">Teilaufgaben </w:t>
      </w:r>
      <w:r w:rsidRPr="0076694B">
        <w:t>1a, 1b, 2b, 3b, 4a</w:t>
      </w:r>
      <w:r w:rsidRPr="005F6336">
        <w:t xml:space="preserve"> </w:t>
      </w:r>
      <w:r w:rsidRPr="001D079A">
        <w:t xml:space="preserve">werden großgeschrieben, weil es sich um Substantivierungen handelt. Diese </w:t>
      </w:r>
      <w:r>
        <w:t>Fä</w:t>
      </w:r>
      <w:r w:rsidRPr="001D079A">
        <w:t>lle</w:t>
      </w:r>
      <w:r>
        <w:t xml:space="preserve"> z</w:t>
      </w:r>
      <w:r w:rsidRPr="001D079A">
        <w:t xml:space="preserve">u erkennen, fällt Schülerinnen und Schülern unterschiedlich schwer. In der Tendenz bereiten jedoch Fälle, in denen der Substantivierung ein Pronomen oder eine Verschmelzung aus zwei Wortarten vorausgeht, mehr Probleme als </w:t>
      </w:r>
      <w:r>
        <w:t>Fälle</w:t>
      </w:r>
      <w:r w:rsidRPr="001D079A">
        <w:t xml:space="preserve">, in denen ein Artikel direkt vor seinem Bezugsnomen steht. Bei den fünf Fällen, die hier getestet wurden, handelt es sich in </w:t>
      </w:r>
      <w:r>
        <w:t xml:space="preserve">je </w:t>
      </w:r>
      <w:r w:rsidRPr="001D079A">
        <w:t xml:space="preserve">zwei Fällen um </w:t>
      </w:r>
      <w:r>
        <w:t>Indefinitp</w:t>
      </w:r>
      <w:r w:rsidRPr="001D079A">
        <w:t>ronomen („</w:t>
      </w:r>
      <w:r w:rsidRPr="00F370F0">
        <w:rPr>
          <w:i/>
          <w:iCs/>
        </w:rPr>
        <w:t>etwas</w:t>
      </w:r>
      <w:r w:rsidRPr="001D079A">
        <w:t>“ und „</w:t>
      </w:r>
      <w:r w:rsidRPr="00F370F0">
        <w:rPr>
          <w:i/>
          <w:iCs/>
        </w:rPr>
        <w:t>viel</w:t>
      </w:r>
      <w:r w:rsidRPr="001D079A">
        <w:t>“)</w:t>
      </w:r>
      <w:r>
        <w:t>,</w:t>
      </w:r>
      <w:r w:rsidRPr="001D079A">
        <w:t xml:space="preserve"> in zwei weiteren Fällen um Verschmelzungen aus Präpositionen und Artikel („</w:t>
      </w:r>
      <w:r w:rsidRPr="00F370F0">
        <w:rPr>
          <w:i/>
          <w:iCs/>
        </w:rPr>
        <w:t>im</w:t>
      </w:r>
      <w:r w:rsidRPr="001D079A">
        <w:t>“ und „</w:t>
      </w:r>
      <w:r w:rsidRPr="00F370F0">
        <w:rPr>
          <w:i/>
          <w:iCs/>
        </w:rPr>
        <w:t>beim</w:t>
      </w:r>
      <w:r w:rsidRPr="001D079A">
        <w:t>“) sowie einmal um einen bestimmten Artikel („</w:t>
      </w:r>
      <w:r w:rsidRPr="00F370F0">
        <w:rPr>
          <w:i/>
          <w:iCs/>
        </w:rPr>
        <w:t>das</w:t>
      </w:r>
      <w:r w:rsidRPr="001D079A">
        <w:t xml:space="preserve">“). </w:t>
      </w:r>
    </w:p>
    <w:p w14:paraId="3315D282" w14:textId="77777777" w:rsidR="009E23B9" w:rsidRPr="001D079A" w:rsidRDefault="009E23B9" w:rsidP="00300D58">
      <w:pPr>
        <w:pStyle w:val="IQB-Standard"/>
      </w:pPr>
      <w:r w:rsidRPr="001D079A">
        <w:t>Bei den Teilaufgaben 1b und 2b, in denen die Artikel mit</w:t>
      </w:r>
      <w:r>
        <w:t xml:space="preserve"> </w:t>
      </w:r>
      <w:r w:rsidRPr="001D079A">
        <w:t>den Präpositionen verschmolzen sind, fällt viel</w:t>
      </w:r>
      <w:r>
        <w:t>en Schülerinnen und Schülern da</w:t>
      </w:r>
      <w:r w:rsidRPr="001D079A">
        <w:t>s Erkennen der Substantivierungen sehr schwer. Es würde zwar grundsätzlich helfen, die Verschmelzung wieder aufzulösen, aber insbesondere im Falle von „</w:t>
      </w:r>
      <w:r w:rsidRPr="00F370F0">
        <w:rPr>
          <w:i/>
          <w:iCs/>
        </w:rPr>
        <w:t>beim Abschreiben</w:t>
      </w:r>
      <w:r w:rsidRPr="001D079A">
        <w:t>“ hat die Form die Bedeutung „dabei sein,</w:t>
      </w:r>
      <w:r>
        <w:t xml:space="preserve"> </w:t>
      </w:r>
      <w:r w:rsidRPr="001D079A">
        <w:t>etwas zu tun“ (</w:t>
      </w:r>
      <w:r>
        <w:t>„</w:t>
      </w:r>
      <w:r w:rsidRPr="001D079A">
        <w:t>beim</w:t>
      </w:r>
      <w:r>
        <w:t>“</w:t>
      </w:r>
      <w:r w:rsidRPr="001D079A">
        <w:t xml:space="preserve"> + substantivierter Infinitiv), sodass dies nicht</w:t>
      </w:r>
      <w:r>
        <w:t xml:space="preserve"> unbedingt</w:t>
      </w:r>
      <w:r w:rsidRPr="001D079A">
        <w:t xml:space="preserve"> helfen würde. Besser erschein</w:t>
      </w:r>
      <w:r>
        <w:t>t</w:t>
      </w:r>
      <w:r w:rsidRPr="001D079A">
        <w:t xml:space="preserve"> es in diesem Fall, andere Formen zu sammeln, die grammatikalisch genauso gebildet werden (</w:t>
      </w:r>
      <w:r w:rsidRPr="00AA6DF7">
        <w:rPr>
          <w:i/>
          <w:iCs/>
        </w:rPr>
        <w:t>beim Lesen, beim Schlafen</w:t>
      </w:r>
      <w:r w:rsidRPr="001D079A">
        <w:t xml:space="preserve"> etc.).</w:t>
      </w:r>
    </w:p>
    <w:p w14:paraId="67398237" w14:textId="77777777" w:rsidR="009E23B9" w:rsidRDefault="009E23B9" w:rsidP="00300D58">
      <w:pPr>
        <w:pStyle w:val="IQB-Standard"/>
      </w:pPr>
      <w:r>
        <w:lastRenderedPageBreak/>
        <w:t xml:space="preserve">In den übrigen drei Sätzen handelt es sich um Kleinschreibungen, die den meisten Schülerinnen und Schülern weit weniger Probleme bereiten. Im Fall von </w:t>
      </w:r>
      <w:r w:rsidRPr="0076694B">
        <w:t>2a</w:t>
      </w:r>
      <w:r>
        <w:t xml:space="preserve"> handelt es sich um eine Kopula-Konstruktion („</w:t>
      </w:r>
      <w:r w:rsidRPr="00F370F0">
        <w:rPr>
          <w:i/>
          <w:iCs/>
        </w:rPr>
        <w:t>richtig</w:t>
      </w:r>
      <w:r>
        <w:t xml:space="preserve"> </w:t>
      </w:r>
      <w:r w:rsidRPr="00F370F0">
        <w:rPr>
          <w:i/>
          <w:iCs/>
        </w:rPr>
        <w:t>sein</w:t>
      </w:r>
      <w:r>
        <w:t>“), bei der „richtig“ noch durch „</w:t>
      </w:r>
      <w:r w:rsidRPr="00F370F0">
        <w:rPr>
          <w:i/>
          <w:iCs/>
        </w:rPr>
        <w:t>genau</w:t>
      </w:r>
      <w:r>
        <w:t>“ (Fokuspartikel) erweitert wird. Als Adjektiv muss das Wort „</w:t>
      </w:r>
      <w:r w:rsidRPr="00F370F0">
        <w:rPr>
          <w:i/>
          <w:iCs/>
        </w:rPr>
        <w:t>richtig</w:t>
      </w:r>
      <w:r>
        <w:t>“ kleingeschrieben werden. Dies zu erkennen, wird überdies durch die vorliegende Satzkonstruktion erschwert, bei der das Subjekt aus einer längeren Nominalphrase besteht („</w:t>
      </w:r>
      <w:r w:rsidRPr="00F370F0">
        <w:rPr>
          <w:i/>
          <w:iCs/>
        </w:rPr>
        <w:t>Ein kühles Bad im Meer</w:t>
      </w:r>
      <w:r>
        <w:t>“).</w:t>
      </w:r>
    </w:p>
    <w:p w14:paraId="244572A4" w14:textId="77777777" w:rsidR="009E23B9" w:rsidRDefault="009E23B9" w:rsidP="00300D58">
      <w:pPr>
        <w:pStyle w:val="IQB-Standard"/>
      </w:pPr>
      <w:r>
        <w:t xml:space="preserve">Bei </w:t>
      </w:r>
      <w:r w:rsidRPr="0076694B">
        <w:t>3a</w:t>
      </w:r>
      <w:r>
        <w:t xml:space="preserve"> („</w:t>
      </w:r>
      <w:r w:rsidRPr="00F370F0">
        <w:rPr>
          <w:i/>
          <w:iCs/>
        </w:rPr>
        <w:t>richtig ordnen</w:t>
      </w:r>
      <w:r>
        <w:t xml:space="preserve">“) und </w:t>
      </w:r>
      <w:r w:rsidRPr="0076694B">
        <w:t>4b</w:t>
      </w:r>
      <w:r>
        <w:t xml:space="preserve"> („</w:t>
      </w:r>
      <w:r w:rsidRPr="00F370F0">
        <w:rPr>
          <w:i/>
          <w:iCs/>
        </w:rPr>
        <w:t>richtig schreiben</w:t>
      </w:r>
      <w:r>
        <w:t>“) handelt es sich jeweils um das Aufeinandertreffen eines adverbial gebrauchten Adjektivs und eines Verbs.</w:t>
      </w:r>
      <w:r w:rsidRPr="00596656">
        <w:t xml:space="preserve"> </w:t>
      </w:r>
      <w:r>
        <w:t>Bei Teilaufgabe 3a ist das Verb in der Infinitivform mit dem Modalverb „können“ verbunden. Um auszuschließen, dass „</w:t>
      </w:r>
      <w:r w:rsidRPr="00F370F0">
        <w:rPr>
          <w:i/>
          <w:iCs/>
        </w:rPr>
        <w:t>ordnen</w:t>
      </w:r>
      <w:r>
        <w:t>“ großgeschrieben wird, können die Schülerinnen und Schüler die Artikelprobe anwenden (*Könnt ihr alles richtig das Ordnen?). Bei 4b ist das Verb in der Infinitivform mit dem Modalverb „</w:t>
      </w:r>
      <w:r w:rsidRPr="00F370F0">
        <w:rPr>
          <w:i/>
          <w:iCs/>
        </w:rPr>
        <w:t>werden</w:t>
      </w:r>
      <w:r>
        <w:t>“ verbunden, um das Futur I auszudrücken. Um zu überprüfen, dass „</w:t>
      </w:r>
      <w:r w:rsidRPr="00F370F0">
        <w:rPr>
          <w:i/>
          <w:iCs/>
        </w:rPr>
        <w:t>schreiben</w:t>
      </w:r>
      <w:r>
        <w:t>“ in diesem Fall kleingeschrieben wird, kann versucht werden, das Wort durch ein flektiertes Adjektiv zu erweitern (</w:t>
      </w:r>
      <w:r w:rsidRPr="005F6336">
        <w:rPr>
          <w:i/>
          <w:iCs/>
        </w:rPr>
        <w:t>Erweiterungsprobe</w:t>
      </w:r>
      <w:r>
        <w:t>). Die Schülerinnen und Schüler werden dann merken, dass das Wort nur durch ein Adverb näher bestimmbar ist.</w:t>
      </w:r>
    </w:p>
    <w:p w14:paraId="765B5128" w14:textId="77777777" w:rsidR="00300D58" w:rsidRDefault="00300D58" w:rsidP="00300D58">
      <w:pPr>
        <w:pStyle w:val="IQB-Teilaufgabentitel"/>
      </w:pPr>
    </w:p>
    <w:p w14:paraId="174BBE52" w14:textId="20D3BF36" w:rsidR="009E23B9" w:rsidRPr="007231CB" w:rsidRDefault="009E23B9" w:rsidP="00300D58">
      <w:pPr>
        <w:pStyle w:val="IQB-Teilaufgabentitel"/>
      </w:pPr>
      <w:r w:rsidRPr="007231CB">
        <w:t>Anregungen für den Unterricht</w:t>
      </w:r>
    </w:p>
    <w:p w14:paraId="4FD100DE" w14:textId="77777777" w:rsidR="009E23B9" w:rsidRPr="00842DF4" w:rsidRDefault="009E23B9" w:rsidP="00300D58">
      <w:pPr>
        <w:pStyle w:val="IQB-Standard"/>
      </w:pPr>
      <w:r w:rsidRPr="00596656">
        <w:t>Weil es sich bei der Groß- und Kleinschreibung im Deutschen nicht um eine morphologisch</w:t>
      </w:r>
      <w:r w:rsidRPr="00842DF4">
        <w:t xml:space="preserve">-lexikalische oder um eine semantische, sondern um eine syntaktische Markierung handelt, kann die Groß- und Kleinschreibung </w:t>
      </w:r>
      <w:bookmarkStart w:id="1" w:name="_Hlk27049263"/>
      <w:r w:rsidRPr="00842DF4">
        <w:t xml:space="preserve">als dem </w:t>
      </w:r>
      <w:r w:rsidRPr="005F6336">
        <w:rPr>
          <w:i/>
          <w:iCs/>
        </w:rPr>
        <w:t>syntaktischen Prinzip</w:t>
      </w:r>
      <w:r w:rsidRPr="00842DF4">
        <w:t xml:space="preserve"> </w:t>
      </w:r>
      <w:bookmarkEnd w:id="1"/>
      <w:r w:rsidRPr="00842DF4">
        <w:t xml:space="preserve">folgend unterrichtet werden. </w:t>
      </w:r>
    </w:p>
    <w:p w14:paraId="201B1D84" w14:textId="77777777" w:rsidR="009E23B9" w:rsidRPr="00842DF4" w:rsidRDefault="009E23B9" w:rsidP="00300D58">
      <w:pPr>
        <w:pStyle w:val="IQB-Standard"/>
      </w:pPr>
      <w:r w:rsidRPr="00842DF4">
        <w:t>Betrachtet</w:t>
      </w:r>
      <w:r>
        <w:t xml:space="preserve"> man</w:t>
      </w:r>
      <w:r w:rsidRPr="00842DF4">
        <w:t xml:space="preserve"> beispielsweise </w:t>
      </w:r>
      <w:bookmarkStart w:id="2" w:name="_Hlk27049297"/>
      <w:r>
        <w:t>eine Regel</w:t>
      </w:r>
      <w:r w:rsidRPr="00842DF4">
        <w:t xml:space="preserve"> wie „Nomen schreibt man groß“</w:t>
      </w:r>
      <w:bookmarkEnd w:id="2"/>
      <w:r w:rsidRPr="00842DF4">
        <w:t>, die zunächst einfach kling</w:t>
      </w:r>
      <w:r>
        <w:t>t</w:t>
      </w:r>
      <w:r w:rsidRPr="00842DF4">
        <w:t>, aber häufig Bestimmungsprobleme außerhalb der prototypischen Fälle mit sich bring</w:t>
      </w:r>
      <w:r>
        <w:t>t</w:t>
      </w:r>
      <w:r w:rsidRPr="00842DF4">
        <w:t xml:space="preserve">, so </w:t>
      </w:r>
      <w:r>
        <w:t>kann</w:t>
      </w:r>
      <w:r w:rsidRPr="00842DF4">
        <w:t xml:space="preserve"> diese auf recht einfachem Weg</w:t>
      </w:r>
      <w:r>
        <w:t>e</w:t>
      </w:r>
      <w:r w:rsidRPr="00842DF4">
        <w:t xml:space="preserve"> durch ein</w:t>
      </w:r>
      <w:r>
        <w:t>en</w:t>
      </w:r>
      <w:r w:rsidRPr="00842DF4">
        <w:t xml:space="preserve"> syntaktischen Erklärungsansatz ersetzt werden: Die Großschreibung wird dann nicht mehr an die Wortarten oder die Semantik, sondern </w:t>
      </w:r>
      <w:r w:rsidRPr="00842DF4">
        <w:rPr>
          <w:i/>
        </w:rPr>
        <w:t xml:space="preserve">an </w:t>
      </w:r>
      <w:bookmarkStart w:id="3" w:name="_Hlk27049313"/>
      <w:r w:rsidRPr="00842DF4">
        <w:rPr>
          <w:i/>
        </w:rPr>
        <w:t>syntaktische Eigenschaften</w:t>
      </w:r>
      <w:r w:rsidRPr="00842DF4">
        <w:t xml:space="preserve"> </w:t>
      </w:r>
      <w:bookmarkEnd w:id="3"/>
      <w:r w:rsidRPr="00842DF4">
        <w:t xml:space="preserve">gebunden: Kerne von </w:t>
      </w:r>
      <w:r w:rsidRPr="005F6336">
        <w:rPr>
          <w:i/>
          <w:iCs/>
        </w:rPr>
        <w:t>Nominalphrasen</w:t>
      </w:r>
      <w:r w:rsidRPr="00842DF4">
        <w:t>, die im Normalfall die Subjekte oder Objekte von Sätzen bilden, werden jeweils großgeschrieben. Diese Kerne können mit Wörtern verschiedener Wortartenzugehörigkeiten gefüllt werden, also nicht nur durch Nomen (</w:t>
      </w:r>
      <w:r>
        <w:t>„</w:t>
      </w:r>
      <w:r w:rsidRPr="00AA6DF7">
        <w:rPr>
          <w:i/>
          <w:iCs/>
        </w:rPr>
        <w:t>das Meer</w:t>
      </w:r>
      <w:r>
        <w:t>“</w:t>
      </w:r>
      <w:r w:rsidRPr="00842DF4">
        <w:t>), sondern auch durch Verben (</w:t>
      </w:r>
      <w:r>
        <w:t>„</w:t>
      </w:r>
      <w:r w:rsidRPr="00842DF4">
        <w:rPr>
          <w:i/>
        </w:rPr>
        <w:t xml:space="preserve">das </w:t>
      </w:r>
      <w:r>
        <w:rPr>
          <w:i/>
        </w:rPr>
        <w:t>Grinsen“</w:t>
      </w:r>
      <w:r w:rsidRPr="00842DF4">
        <w:t>), Adjektive (</w:t>
      </w:r>
      <w:r>
        <w:t>„</w:t>
      </w:r>
      <w:r w:rsidRPr="00842DF4">
        <w:rPr>
          <w:i/>
        </w:rPr>
        <w:t>das Rot</w:t>
      </w:r>
      <w:r>
        <w:rPr>
          <w:i/>
        </w:rPr>
        <w:t>“</w:t>
      </w:r>
      <w:r w:rsidRPr="00842DF4">
        <w:t>), Adverbien (</w:t>
      </w:r>
      <w:r>
        <w:t>„</w:t>
      </w:r>
      <w:r w:rsidRPr="00842DF4">
        <w:rPr>
          <w:i/>
        </w:rPr>
        <w:t>das Hier und Jetzt</w:t>
      </w:r>
      <w:r>
        <w:rPr>
          <w:i/>
        </w:rPr>
        <w:t>“</w:t>
      </w:r>
      <w:r w:rsidRPr="00842DF4">
        <w:t>) oder Präpositionen (</w:t>
      </w:r>
      <w:r>
        <w:t>„</w:t>
      </w:r>
      <w:r w:rsidRPr="00842DF4">
        <w:rPr>
          <w:i/>
        </w:rPr>
        <w:t>das Für und Wider</w:t>
      </w:r>
      <w:r>
        <w:rPr>
          <w:i/>
        </w:rPr>
        <w:t>“</w:t>
      </w:r>
      <w:r w:rsidRPr="00842DF4">
        <w:t xml:space="preserve">). Sie können auf unterschiedliche Weise, </w:t>
      </w:r>
      <w:r w:rsidRPr="0087642D">
        <w:t>z. B.</w:t>
      </w:r>
      <w:r w:rsidRPr="00842DF4">
        <w:t xml:space="preserve"> durch Adjektivattribute, erweitert werden (vgl. Noack</w:t>
      </w:r>
      <w:r w:rsidR="00E73265">
        <w:t>,</w:t>
      </w:r>
      <w:r w:rsidRPr="00842DF4">
        <w:t xml:space="preserve"> 2006</w:t>
      </w:r>
      <w:r w:rsidR="00E73265">
        <w:t>, S.</w:t>
      </w:r>
      <w:r w:rsidRPr="00842DF4">
        <w:t xml:space="preserve"> 38).</w:t>
      </w:r>
    </w:p>
    <w:p w14:paraId="4B4814C3" w14:textId="77777777" w:rsidR="009E23B9" w:rsidRPr="00E57D24" w:rsidRDefault="009E23B9" w:rsidP="00300D58">
      <w:pPr>
        <w:pStyle w:val="IQB-Standard"/>
      </w:pPr>
      <w:r w:rsidRPr="00842DF4">
        <w:t xml:space="preserve">Eine Möglichkeit, Nominalphrasen zu erkennen, besteht darin, zu überprüfen, ob sie als Bestandteile von Sätzen als </w:t>
      </w:r>
      <w:r>
        <w:t xml:space="preserve">eine Einheit verschiebbar sind. </w:t>
      </w:r>
      <w:r w:rsidRPr="00E57D24">
        <w:t xml:space="preserve">Beispiel: </w:t>
      </w:r>
    </w:p>
    <w:p w14:paraId="27516571" w14:textId="77777777" w:rsidR="009E23B9" w:rsidRPr="00E57D24" w:rsidRDefault="009E23B9" w:rsidP="009E23B9">
      <w:pPr>
        <w:rPr>
          <w:i/>
          <w:sz w:val="24"/>
        </w:rPr>
      </w:pPr>
      <w:r w:rsidRPr="00E57D24">
        <w:rPr>
          <w:i/>
          <w:sz w:val="24"/>
          <w:u w:val="single"/>
        </w:rPr>
        <w:t>Ein Grinsen</w:t>
      </w:r>
      <w:r w:rsidRPr="00E57D24">
        <w:rPr>
          <w:i/>
          <w:sz w:val="24"/>
        </w:rPr>
        <w:t xml:space="preserve"> konnte er sich nur mit Mühe verkneifen.</w:t>
      </w:r>
    </w:p>
    <w:p w14:paraId="78AD6967" w14:textId="77777777" w:rsidR="009E23B9" w:rsidRPr="00E57D24" w:rsidRDefault="009E23B9" w:rsidP="009E23B9">
      <w:pPr>
        <w:rPr>
          <w:i/>
          <w:sz w:val="24"/>
        </w:rPr>
      </w:pPr>
      <w:r w:rsidRPr="00E57D24">
        <w:rPr>
          <w:i/>
          <w:sz w:val="24"/>
        </w:rPr>
        <w:sym w:font="Wingdings" w:char="F0E0"/>
      </w:r>
      <w:r w:rsidRPr="00E57D24">
        <w:rPr>
          <w:i/>
          <w:sz w:val="24"/>
        </w:rPr>
        <w:t xml:space="preserve"> Nur mit Mühe konnte er sich </w:t>
      </w:r>
      <w:r w:rsidRPr="00E57D24">
        <w:rPr>
          <w:i/>
          <w:sz w:val="24"/>
          <w:u w:val="single"/>
        </w:rPr>
        <w:t>ein Grinsen</w:t>
      </w:r>
      <w:r w:rsidRPr="00E57D24">
        <w:rPr>
          <w:i/>
          <w:sz w:val="24"/>
        </w:rPr>
        <w:t xml:space="preserve"> verkneifen.</w:t>
      </w:r>
    </w:p>
    <w:p w14:paraId="2FB18DF4" w14:textId="77777777" w:rsidR="009E23B9" w:rsidRPr="001D079A" w:rsidRDefault="009E23B9" w:rsidP="009E23B9">
      <w:pPr>
        <w:rPr>
          <w:i/>
          <w:sz w:val="24"/>
        </w:rPr>
      </w:pPr>
      <w:r w:rsidRPr="00E57D24">
        <w:rPr>
          <w:i/>
          <w:sz w:val="24"/>
        </w:rPr>
        <w:sym w:font="Wingdings" w:char="F0E0"/>
      </w:r>
      <w:r w:rsidRPr="00E57D24">
        <w:rPr>
          <w:i/>
          <w:sz w:val="24"/>
        </w:rPr>
        <w:t xml:space="preserve"> Verkneifen konnte er sich </w:t>
      </w:r>
      <w:r w:rsidRPr="00E57D24">
        <w:rPr>
          <w:i/>
          <w:sz w:val="24"/>
          <w:u w:val="single"/>
        </w:rPr>
        <w:t>ein Grinsen</w:t>
      </w:r>
      <w:r w:rsidRPr="00E57D24">
        <w:rPr>
          <w:i/>
          <w:sz w:val="24"/>
        </w:rPr>
        <w:t xml:space="preserve"> nur mit Mühe.</w:t>
      </w:r>
    </w:p>
    <w:p w14:paraId="499F9518" w14:textId="77777777" w:rsidR="009E23B9" w:rsidRDefault="009E23B9" w:rsidP="00300D58">
      <w:pPr>
        <w:pStyle w:val="IQB-Standard"/>
      </w:pPr>
      <w:r w:rsidRPr="00842DF4">
        <w:t>Die Kerne von Nominalphrasen können dann dadurch identifiziert werden, dass sie stets am rechten Rand der Phrasen stehen und im prototypischen Fall</w:t>
      </w:r>
      <w:r>
        <w:t>e</w:t>
      </w:r>
      <w:r w:rsidRPr="00842DF4">
        <w:t xml:space="preserve"> von einem Artikel begleitet und durch ein flektiertes Adjektiv erweiterbar sind</w:t>
      </w:r>
      <w:r>
        <w:t xml:space="preserve">: </w:t>
      </w:r>
      <w:r w:rsidRPr="00842DF4">
        <w:rPr>
          <w:i/>
        </w:rPr>
        <w:t xml:space="preserve">Das helle </w:t>
      </w:r>
      <w:r w:rsidRPr="004E752B">
        <w:rPr>
          <w:i/>
          <w:u w:val="single"/>
        </w:rPr>
        <w:t>Leuchten</w:t>
      </w:r>
      <w:r w:rsidRPr="00842DF4">
        <w:rPr>
          <w:i/>
        </w:rPr>
        <w:t xml:space="preserve"> erfüllte den </w:t>
      </w:r>
      <w:r>
        <w:rPr>
          <w:i/>
        </w:rPr>
        <w:t>großen</w:t>
      </w:r>
      <w:r w:rsidRPr="00842DF4">
        <w:rPr>
          <w:i/>
        </w:rPr>
        <w:t xml:space="preserve"> </w:t>
      </w:r>
      <w:r w:rsidRPr="004E752B">
        <w:rPr>
          <w:i/>
          <w:u w:val="single"/>
        </w:rPr>
        <w:t>Raum</w:t>
      </w:r>
      <w:r w:rsidRPr="00842DF4">
        <w:rPr>
          <w:i/>
        </w:rPr>
        <w:t xml:space="preserve"> bis in die hintersten </w:t>
      </w:r>
      <w:r w:rsidRPr="004E752B">
        <w:rPr>
          <w:i/>
          <w:u w:val="single"/>
        </w:rPr>
        <w:t>Ecken</w:t>
      </w:r>
      <w:r w:rsidRPr="00842DF4">
        <w:t>.</w:t>
      </w:r>
    </w:p>
    <w:p w14:paraId="07285E13" w14:textId="77777777" w:rsidR="009E23B9" w:rsidRPr="00842DF4" w:rsidRDefault="009E23B9" w:rsidP="00300D58">
      <w:pPr>
        <w:pStyle w:val="IQB-Standard"/>
      </w:pPr>
      <w:bookmarkStart w:id="4" w:name="_GoBack"/>
      <w:bookmarkEnd w:id="4"/>
      <w:r w:rsidRPr="00842DF4">
        <w:lastRenderedPageBreak/>
        <w:t>Eine Möglichkeit, die Erweiterung der Nominalphrasen und damit die Regelung der satzinternen Großschreibung anschaulich und spielerisch zu vermitteln, liegt nach Röber-</w:t>
      </w:r>
      <w:proofErr w:type="spellStart"/>
      <w:r w:rsidRPr="00842DF4">
        <w:t>Siekmeyer</w:t>
      </w:r>
      <w:proofErr w:type="spellEnd"/>
      <w:r w:rsidRPr="00842DF4">
        <w:t xml:space="preserve"> (</w:t>
      </w:r>
      <w:r w:rsidR="00E73265">
        <w:t xml:space="preserve">vgl. </w:t>
      </w:r>
      <w:r w:rsidRPr="00842DF4">
        <w:t>1999</w:t>
      </w:r>
      <w:r w:rsidR="00E73265">
        <w:t>, S.</w:t>
      </w:r>
      <w:r>
        <w:t xml:space="preserve"> 121</w:t>
      </w:r>
      <w:r w:rsidRPr="00842DF4">
        <w:t>) in dem Erstellen von Treppengedichten, bei denen eine Nominalphrase schrittweise erweitert wird, wodurch sich der Kern – also das großzuschreibende Wort – imme</w:t>
      </w:r>
      <w:r>
        <w:t xml:space="preserve">r weiter nach rechts verschiebt: </w:t>
      </w:r>
    </w:p>
    <w:p w14:paraId="32ADBC45" w14:textId="77777777" w:rsidR="009E23B9" w:rsidRPr="0013536F" w:rsidRDefault="009E23B9" w:rsidP="009E23B9">
      <w:pPr>
        <w:rPr>
          <w:sz w:val="24"/>
        </w:rPr>
      </w:pPr>
      <w:r w:rsidRPr="0013536F">
        <w:rPr>
          <w:sz w:val="24"/>
        </w:rPr>
        <w:t>„der Bauer</w:t>
      </w:r>
    </w:p>
    <w:p w14:paraId="4E1C73D7" w14:textId="77777777" w:rsidR="009E23B9" w:rsidRPr="0013536F" w:rsidRDefault="009E23B9" w:rsidP="009E23B9">
      <w:pPr>
        <w:rPr>
          <w:sz w:val="24"/>
        </w:rPr>
      </w:pPr>
      <w:r w:rsidRPr="0013536F">
        <w:rPr>
          <w:sz w:val="24"/>
        </w:rPr>
        <w:t>der kluge Bauer</w:t>
      </w:r>
    </w:p>
    <w:p w14:paraId="3494D19A" w14:textId="77777777" w:rsidR="009E23B9" w:rsidRPr="0013536F" w:rsidRDefault="009E23B9" w:rsidP="009E23B9">
      <w:pPr>
        <w:rPr>
          <w:sz w:val="24"/>
        </w:rPr>
      </w:pPr>
      <w:r w:rsidRPr="0013536F">
        <w:rPr>
          <w:sz w:val="24"/>
        </w:rPr>
        <w:t>der kluge, fleißige Bauer</w:t>
      </w:r>
    </w:p>
    <w:p w14:paraId="4C39DA42" w14:textId="77777777" w:rsidR="009E23B9" w:rsidRPr="0013536F" w:rsidRDefault="009E23B9" w:rsidP="009E23B9">
      <w:pPr>
        <w:rPr>
          <w:sz w:val="24"/>
        </w:rPr>
      </w:pPr>
      <w:r w:rsidRPr="0013536F">
        <w:rPr>
          <w:sz w:val="24"/>
        </w:rPr>
        <w:t>holt</w:t>
      </w:r>
    </w:p>
    <w:p w14:paraId="62770398" w14:textId="77777777" w:rsidR="009E23B9" w:rsidRPr="0013536F" w:rsidRDefault="009E23B9" w:rsidP="009E23B9">
      <w:pPr>
        <w:rPr>
          <w:sz w:val="24"/>
        </w:rPr>
      </w:pPr>
      <w:r w:rsidRPr="0013536F">
        <w:rPr>
          <w:sz w:val="24"/>
        </w:rPr>
        <w:t>das Heu</w:t>
      </w:r>
    </w:p>
    <w:p w14:paraId="0AD1D476" w14:textId="77777777" w:rsidR="009E23B9" w:rsidRPr="0013536F" w:rsidRDefault="009E23B9" w:rsidP="009E23B9">
      <w:pPr>
        <w:rPr>
          <w:sz w:val="24"/>
        </w:rPr>
      </w:pPr>
      <w:r w:rsidRPr="0013536F">
        <w:rPr>
          <w:sz w:val="24"/>
        </w:rPr>
        <w:t>vor dem Schauer“</w:t>
      </w:r>
    </w:p>
    <w:p w14:paraId="2ED0581C" w14:textId="77777777" w:rsidR="009E23B9" w:rsidRDefault="009E23B9" w:rsidP="00300D58">
      <w:pPr>
        <w:pStyle w:val="IQB-Standard"/>
      </w:pPr>
      <w:r w:rsidRPr="00842DF4">
        <w:t xml:space="preserve">Durch ein derart gestaltetes kontinuierliches Experimentieren und Üben bauen die Schülerinnen und Schüler Strukturwissen </w:t>
      </w:r>
      <w:r>
        <w:t xml:space="preserve">auf </w:t>
      </w:r>
      <w:r w:rsidRPr="00842DF4">
        <w:t xml:space="preserve">und </w:t>
      </w:r>
      <w:r>
        <w:t xml:space="preserve">erlangen </w:t>
      </w:r>
      <w:r w:rsidRPr="00842DF4">
        <w:t>damit allmählich Sicherheit in der Groß- und Kleinschreibung (vgl. Noack</w:t>
      </w:r>
      <w:r w:rsidR="00E73265">
        <w:t>,</w:t>
      </w:r>
      <w:r w:rsidRPr="00842DF4">
        <w:t xml:space="preserve"> 2006</w:t>
      </w:r>
      <w:r w:rsidR="00E73265">
        <w:t>, S.</w:t>
      </w:r>
      <w:r>
        <w:t xml:space="preserve"> </w:t>
      </w:r>
      <w:r w:rsidRPr="00842DF4">
        <w:t>40).</w:t>
      </w:r>
    </w:p>
    <w:p w14:paraId="09D0E837" w14:textId="77777777" w:rsidR="00E73265" w:rsidRDefault="00E73265" w:rsidP="00300D58">
      <w:pPr>
        <w:pStyle w:val="IQB-Standard"/>
      </w:pPr>
    </w:p>
    <w:p w14:paraId="2E6948BE" w14:textId="77777777" w:rsidR="00E73265" w:rsidRPr="00300D58" w:rsidRDefault="00E73265" w:rsidP="00300D58">
      <w:pPr>
        <w:pStyle w:val="IQB-Standard"/>
      </w:pPr>
      <w:r w:rsidRPr="00300D58">
        <w:rPr>
          <w:b/>
        </w:rPr>
        <w:t>Literatur</w:t>
      </w:r>
      <w:r w:rsidRPr="00300D58">
        <w:t>:</w:t>
      </w:r>
    </w:p>
    <w:p w14:paraId="181874CC" w14:textId="0358CAB9" w:rsidR="00E73265" w:rsidRDefault="0012714C" w:rsidP="00300D58">
      <w:pPr>
        <w:pStyle w:val="IQB-Standard"/>
      </w:pPr>
      <w:r>
        <w:t>Noack, C. (2006). „</w:t>
      </w:r>
      <w:r w:rsidRPr="0012714C">
        <w:rPr>
          <w:i/>
        </w:rPr>
        <w:t>Aber Wie-Wörter schreibt man doch klein!“</w:t>
      </w:r>
      <w:r>
        <w:t>. In: Praxis Deutsch 33. Heft 198. 36-43.</w:t>
      </w:r>
    </w:p>
    <w:p w14:paraId="0065DECC" w14:textId="734F28F4" w:rsidR="005C37AF" w:rsidRPr="00842DF4" w:rsidRDefault="001E0F4C" w:rsidP="00300D58">
      <w:pPr>
        <w:pStyle w:val="IQB-Standard"/>
      </w:pPr>
      <w:r w:rsidRPr="001E0F4C">
        <w:t>Röber-</w:t>
      </w:r>
      <w:proofErr w:type="spellStart"/>
      <w:r w:rsidRPr="001E0F4C">
        <w:t>Siekmeyer</w:t>
      </w:r>
      <w:proofErr w:type="spellEnd"/>
      <w:r w:rsidRPr="001E0F4C">
        <w:t>, C</w:t>
      </w:r>
      <w:r w:rsidR="00927CFC">
        <w:t>.</w:t>
      </w:r>
      <w:r w:rsidRPr="001E0F4C">
        <w:t xml:space="preserve"> (1999): </w:t>
      </w:r>
      <w:r w:rsidRPr="00927CFC">
        <w:rPr>
          <w:i/>
        </w:rPr>
        <w:t>Ein anderer Weg zur Groß- und Kleinschreibung</w:t>
      </w:r>
      <w:r w:rsidRPr="001E0F4C">
        <w:t>. Leipzig: Klett.</w:t>
      </w:r>
    </w:p>
    <w:sectPr w:rsidR="005C37AF" w:rsidRPr="00842DF4" w:rsidSect="00D1022F">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A4869" w14:textId="77777777" w:rsidR="009D3748" w:rsidRDefault="009D3748" w:rsidP="009D3748">
      <w:pPr>
        <w:spacing w:after="0" w:line="240" w:lineRule="auto"/>
      </w:pPr>
      <w:r>
        <w:separator/>
      </w:r>
    </w:p>
  </w:endnote>
  <w:endnote w:type="continuationSeparator" w:id="0">
    <w:p w14:paraId="634531B0" w14:textId="77777777" w:rsidR="009D3748" w:rsidRDefault="009D3748" w:rsidP="009D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1C3E21A7-F12D-48A1-9CDA-027C627161EE}"/>
    <w:embedBold r:id="rId2" w:fontKey="{7B467591-1F7D-4315-BEE1-A653B44FB67A}"/>
    <w:embedItalic r:id="rId3" w:fontKey="{AC220B6A-37DB-44CA-8931-E6761BC88BB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0E3A162E-1EA7-4B69-843E-C06862AEA9E7}"/>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embedRegular r:id="rId5" w:fontKey="{D85E3205-C0A5-40FE-A662-67E7454EE0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25016" w14:textId="77777777" w:rsidR="009D3748" w:rsidRDefault="009D37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540237"/>
      <w:docPartObj>
        <w:docPartGallery w:val="Page Numbers (Bottom of Page)"/>
        <w:docPartUnique/>
      </w:docPartObj>
    </w:sdtPr>
    <w:sdtContent>
      <w:p w14:paraId="12F43D62" w14:textId="3B704234" w:rsidR="00D1022F" w:rsidRDefault="00D1022F">
        <w:pPr>
          <w:pStyle w:val="Fuzeile"/>
          <w:jc w:val="center"/>
        </w:pPr>
        <w:r>
          <w:fldChar w:fldCharType="begin"/>
        </w:r>
        <w:r>
          <w:instrText>PAGE   \* MERGEFORMAT</w:instrText>
        </w:r>
        <w:r>
          <w:fldChar w:fldCharType="separate"/>
        </w:r>
        <w:r>
          <w:t>2</w:t>
        </w:r>
        <w:r>
          <w:fldChar w:fldCharType="end"/>
        </w:r>
      </w:p>
    </w:sdtContent>
  </w:sdt>
  <w:p w14:paraId="46695966" w14:textId="77777777" w:rsidR="009D3748" w:rsidRDefault="009D37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355887"/>
      <w:docPartObj>
        <w:docPartGallery w:val="Page Numbers (Bottom of Page)"/>
        <w:docPartUnique/>
      </w:docPartObj>
    </w:sdtPr>
    <w:sdtContent>
      <w:p w14:paraId="3A00960E" w14:textId="08768007" w:rsidR="00D1022F" w:rsidRDefault="00D1022F">
        <w:pPr>
          <w:pStyle w:val="Fuzeile"/>
          <w:jc w:val="center"/>
        </w:pPr>
        <w:r>
          <w:fldChar w:fldCharType="begin"/>
        </w:r>
        <w:r>
          <w:instrText>PAGE   \* MERGEFORMAT</w:instrText>
        </w:r>
        <w:r>
          <w:fldChar w:fldCharType="separate"/>
        </w:r>
        <w:r>
          <w:t>2</w:t>
        </w:r>
        <w:r>
          <w:fldChar w:fldCharType="end"/>
        </w:r>
      </w:p>
    </w:sdtContent>
  </w:sdt>
  <w:p w14:paraId="1BFA47FF" w14:textId="77777777" w:rsidR="009D3748" w:rsidRDefault="009D37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30DF7" w14:textId="77777777" w:rsidR="009D3748" w:rsidRDefault="009D3748" w:rsidP="009D3748">
      <w:pPr>
        <w:spacing w:after="0" w:line="240" w:lineRule="auto"/>
      </w:pPr>
      <w:r>
        <w:separator/>
      </w:r>
    </w:p>
  </w:footnote>
  <w:footnote w:type="continuationSeparator" w:id="0">
    <w:p w14:paraId="0D1F1B10" w14:textId="77777777" w:rsidR="009D3748" w:rsidRDefault="009D3748" w:rsidP="009D3748">
      <w:pPr>
        <w:spacing w:after="0" w:line="240" w:lineRule="auto"/>
      </w:pPr>
      <w:r>
        <w:continuationSeparator/>
      </w:r>
    </w:p>
  </w:footnote>
  <w:footnote w:id="1">
    <w:p w14:paraId="3D2BAF9A" w14:textId="3DFAA8AB" w:rsidR="007B67B6" w:rsidRPr="007B67B6" w:rsidRDefault="007B67B6" w:rsidP="00E34AB3">
      <w:pPr>
        <w:jc w:val="both"/>
        <w:rPr>
          <w:rFonts w:ascii="Arial" w:hAnsi="Arial" w:cs="Arial"/>
          <w:sz w:val="16"/>
          <w:szCs w:val="16"/>
        </w:rPr>
      </w:pPr>
      <w:r w:rsidRPr="00E34AB3">
        <w:rPr>
          <w:rStyle w:val="Funotenzeichen"/>
          <w:sz w:val="16"/>
          <w:szCs w:val="16"/>
        </w:rPr>
        <w:footnoteRef/>
      </w:r>
      <w:r w:rsidRPr="00E34AB3">
        <w:rPr>
          <w:sz w:val="16"/>
          <w:szCs w:val="16"/>
        </w:rPr>
        <w:t xml:space="preserve"> </w:t>
      </w:r>
      <w:r w:rsidRPr="007B67B6">
        <w:rPr>
          <w:rFonts w:ascii="Arial" w:hAnsi="Arial" w:cs="Arial"/>
          <w:sz w:val="16"/>
          <w:szCs w:val="16"/>
        </w:rPr>
        <w:t>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 https://www.kmk.org/fileadmin/Dateien/veroeffentlichungen_beschluesse/2004/2004_10_15-Bildungsstandards-Deutsch-Haupt.pdf (Abgerufen am 30.1.2025)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20D2" w14:textId="77777777" w:rsidR="009D3748" w:rsidRDefault="009D37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AA247" w14:textId="60264BFB" w:rsidR="009D3748" w:rsidRDefault="009D374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E143D" w14:textId="5DC5EC0C" w:rsidR="009D3748" w:rsidRDefault="00D1022F">
    <w:pPr>
      <w:pStyle w:val="Kopfzeile"/>
    </w:pPr>
    <w:r>
      <w:rPr>
        <w:noProof/>
      </w:rPr>
      <w:drawing>
        <wp:anchor distT="0" distB="0" distL="114300" distR="114300" simplePos="0" relativeHeight="251658240" behindDoc="0" locked="0" layoutInCell="1" allowOverlap="1" wp14:anchorId="0CFD60A1" wp14:editId="40D8ADA0">
          <wp:simplePos x="0" y="0"/>
          <wp:positionH relativeFrom="page">
            <wp:posOffset>902970</wp:posOffset>
          </wp:positionH>
          <wp:positionV relativeFrom="page">
            <wp:posOffset>180340</wp:posOffset>
          </wp:positionV>
          <wp:extent cx="4104000" cy="270000"/>
          <wp:effectExtent l="0" t="0" r="0" b="0"/>
          <wp:wrapTopAndBottom/>
          <wp:docPr id="2" name="Grafik 2" descr="Beschreibung: Kopf"/>
          <wp:cNvGraphicFramePr/>
          <a:graphic xmlns:a="http://schemas.openxmlformats.org/drawingml/2006/main">
            <a:graphicData uri="http://schemas.openxmlformats.org/drawingml/2006/picture">
              <pic:pic xmlns:pic="http://schemas.openxmlformats.org/drawingml/2006/picture">
                <pic:nvPicPr>
                  <pic:cNvPr id="1" name="Grafik 1" descr="Beschreibung: Kopf"/>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40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TrueTypeFont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48"/>
    <w:rsid w:val="0003275F"/>
    <w:rsid w:val="0012714C"/>
    <w:rsid w:val="001E0F4C"/>
    <w:rsid w:val="00300D58"/>
    <w:rsid w:val="00591BCE"/>
    <w:rsid w:val="005C37AF"/>
    <w:rsid w:val="007B67B6"/>
    <w:rsid w:val="00927CFC"/>
    <w:rsid w:val="009D3748"/>
    <w:rsid w:val="009E23B9"/>
    <w:rsid w:val="00AF3137"/>
    <w:rsid w:val="00D1022F"/>
    <w:rsid w:val="00DE5664"/>
    <w:rsid w:val="00E34AB3"/>
    <w:rsid w:val="00E7058B"/>
    <w:rsid w:val="00E73265"/>
    <w:rsid w:val="00EC3F46"/>
    <w:rsid w:val="00F107ED"/>
    <w:rsid w:val="00F673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9DF973"/>
  <w15:chartTrackingRefBased/>
  <w15:docId w15:val="{1FFA9549-6A86-496D-AD76-AB4D55F8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3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3748"/>
  </w:style>
  <w:style w:type="paragraph" w:styleId="Fuzeile">
    <w:name w:val="footer"/>
    <w:basedOn w:val="Standard"/>
    <w:link w:val="FuzeileZchn"/>
    <w:uiPriority w:val="99"/>
    <w:unhideWhenUsed/>
    <w:rsid w:val="009D3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3748"/>
  </w:style>
  <w:style w:type="paragraph" w:customStyle="1" w:styleId="IQB-Aufgabentitel">
    <w:name w:val="IQB-Aufgabentitel"/>
    <w:basedOn w:val="Standard"/>
    <w:link w:val="IQB-AufgabentitelZchn"/>
    <w:qFormat/>
    <w:rsid w:val="009E23B9"/>
    <w:pPr>
      <w:keepNext/>
      <w:spacing w:before="240" w:after="240" w:line="240" w:lineRule="auto"/>
      <w:outlineLvl w:val="0"/>
    </w:pPr>
    <w:rPr>
      <w:rFonts w:ascii="Arial" w:eastAsia="Times New Roman" w:hAnsi="Arial" w:cs="Arial"/>
      <w:bCs/>
      <w:kern w:val="32"/>
      <w:sz w:val="28"/>
      <w:szCs w:val="36"/>
      <w:lang w:eastAsia="de-DE"/>
    </w:rPr>
  </w:style>
  <w:style w:type="paragraph" w:customStyle="1" w:styleId="IQB-Teilaufgabentitel">
    <w:name w:val="IQB-Teilaufgabentitel"/>
    <w:basedOn w:val="IQB-Aufgabensubtitel"/>
    <w:link w:val="IQB-TeilaufgabentitelZchn"/>
    <w:autoRedefine/>
    <w:qFormat/>
    <w:rsid w:val="009E23B9"/>
    <w:pPr>
      <w:spacing w:before="240"/>
    </w:pPr>
    <w:rPr>
      <w:b/>
      <w:bCs/>
    </w:rPr>
  </w:style>
  <w:style w:type="paragraph" w:customStyle="1" w:styleId="IQB-RSNormal">
    <w:name w:val="IQB-RSNormal"/>
    <w:basedOn w:val="IQB-Standard"/>
    <w:link w:val="IQB-RSNormalZchn"/>
    <w:qFormat/>
    <w:rsid w:val="009E23B9"/>
    <w:pPr>
      <w:spacing w:after="60"/>
    </w:pPr>
    <w:rPr>
      <w:sz w:val="18"/>
      <w:szCs w:val="22"/>
    </w:rPr>
  </w:style>
  <w:style w:type="character" w:customStyle="1" w:styleId="IQB-RSNormalZchn">
    <w:name w:val="IQB-RSNormal Zchn"/>
    <w:basedOn w:val="Absatz-Standardschriftart"/>
    <w:link w:val="IQB-RSNormal"/>
    <w:rsid w:val="009E23B9"/>
    <w:rPr>
      <w:rFonts w:ascii="Arial" w:eastAsia="Times New Roman" w:hAnsi="Arial" w:cs="Arial"/>
      <w:sz w:val="18"/>
      <w:lang w:eastAsia="de-DE"/>
    </w:rPr>
  </w:style>
  <w:style w:type="paragraph" w:customStyle="1" w:styleId="IQB-RSCodeValue">
    <w:name w:val="IQB-RSCodeValue"/>
    <w:basedOn w:val="IQB-Standard"/>
    <w:link w:val="IQB-RSCodeValueZchn"/>
    <w:qFormat/>
    <w:rsid w:val="009E23B9"/>
    <w:pPr>
      <w:spacing w:after="60"/>
    </w:pPr>
    <w:rPr>
      <w:sz w:val="18"/>
    </w:rPr>
  </w:style>
  <w:style w:type="character" w:customStyle="1" w:styleId="IQB-RSCodeValueZchn">
    <w:name w:val="IQB-RSCodeValue Zchn"/>
    <w:basedOn w:val="Absatz-Standardschriftart"/>
    <w:link w:val="IQB-RSCodeValue"/>
    <w:rsid w:val="009E23B9"/>
    <w:rPr>
      <w:rFonts w:ascii="Arial" w:eastAsia="Times New Roman" w:hAnsi="Arial" w:cs="Arial"/>
      <w:sz w:val="18"/>
      <w:szCs w:val="24"/>
      <w:lang w:eastAsia="de-DE"/>
    </w:rPr>
  </w:style>
  <w:style w:type="paragraph" w:customStyle="1" w:styleId="IQB-Teilaufgabensubtitel">
    <w:name w:val="IQB-Teilaufgabensubtitel"/>
    <w:basedOn w:val="IQB-Aufgabensubtitel"/>
    <w:link w:val="IQB-TeilaufgabensubtitelZchn"/>
    <w:qFormat/>
    <w:rsid w:val="009E23B9"/>
  </w:style>
  <w:style w:type="character" w:customStyle="1" w:styleId="IQB-TeilaufgabentitelZchn">
    <w:name w:val="IQB-Teilaufgabentitel Zchn"/>
    <w:basedOn w:val="Absatz-Standardschriftart"/>
    <w:link w:val="IQB-Teilaufgabentitel"/>
    <w:rsid w:val="009E23B9"/>
    <w:rPr>
      <w:rFonts w:ascii="Arial" w:eastAsia="Times New Roman" w:hAnsi="Arial" w:cs="Arial"/>
      <w:b/>
      <w:bCs/>
      <w:sz w:val="24"/>
      <w:szCs w:val="24"/>
      <w:lang w:eastAsia="de-DE"/>
    </w:rPr>
  </w:style>
  <w:style w:type="character" w:customStyle="1" w:styleId="IQB-TeilaufgabensubtitelZchn">
    <w:name w:val="IQB-Teilaufgabensubtitel Zchn"/>
    <w:basedOn w:val="IQB-TeilaufgabentitelZchn"/>
    <w:link w:val="IQB-Teilaufgabensubtitel"/>
    <w:rsid w:val="009E23B9"/>
    <w:rPr>
      <w:rFonts w:ascii="Arial" w:eastAsia="Times New Roman" w:hAnsi="Arial" w:cs="Arial"/>
      <w:b w:val="0"/>
      <w:bCs w:val="0"/>
      <w:sz w:val="24"/>
      <w:szCs w:val="24"/>
      <w:lang w:eastAsia="de-DE"/>
    </w:rPr>
  </w:style>
  <w:style w:type="paragraph" w:customStyle="1" w:styleId="IQB-Aufgabensubtitel">
    <w:name w:val="IQB-Aufgabensubtitel"/>
    <w:basedOn w:val="IQB-Standard"/>
    <w:link w:val="IQB-AufgabensubtitelZchn"/>
    <w:qFormat/>
    <w:rsid w:val="009E23B9"/>
    <w:pPr>
      <w:keepNext/>
      <w:spacing w:before="120"/>
    </w:pPr>
  </w:style>
  <w:style w:type="paragraph" w:customStyle="1" w:styleId="IQB-Merkmal">
    <w:name w:val="IQB-Merkmal"/>
    <w:basedOn w:val="IQB-Standard"/>
    <w:link w:val="IQB-MerkmalZchn"/>
    <w:qFormat/>
    <w:rsid w:val="009E23B9"/>
    <w:pPr>
      <w:spacing w:after="60"/>
    </w:pPr>
    <w:rPr>
      <w:sz w:val="18"/>
    </w:rPr>
  </w:style>
  <w:style w:type="character" w:customStyle="1" w:styleId="IQB-AufgabensubtitelZchn">
    <w:name w:val="IQB-Aufgabensubtitel Zchn"/>
    <w:basedOn w:val="IQB-TeilaufgabentitelZchn"/>
    <w:link w:val="IQB-Aufgabensubtitel"/>
    <w:rsid w:val="009E23B9"/>
    <w:rPr>
      <w:rFonts w:ascii="Arial" w:eastAsia="Times New Roman" w:hAnsi="Arial" w:cs="Arial"/>
      <w:b w:val="0"/>
      <w:bCs w:val="0"/>
      <w:sz w:val="24"/>
      <w:szCs w:val="24"/>
      <w:lang w:eastAsia="de-DE"/>
    </w:rPr>
  </w:style>
  <w:style w:type="paragraph" w:customStyle="1" w:styleId="IQB-Merkmalswert">
    <w:name w:val="IQB-Merkmalswert"/>
    <w:basedOn w:val="IQB-Standard"/>
    <w:link w:val="IQB-MerkmalswertZchn"/>
    <w:qFormat/>
    <w:rsid w:val="009E23B9"/>
    <w:pPr>
      <w:spacing w:after="60"/>
    </w:pPr>
    <w:rPr>
      <w:sz w:val="18"/>
    </w:rPr>
  </w:style>
  <w:style w:type="character" w:customStyle="1" w:styleId="IQB-MerkmalZchn">
    <w:name w:val="IQB-Merkmal Zchn"/>
    <w:basedOn w:val="IQB-TeilaufgabentitelZchn"/>
    <w:link w:val="IQB-Merkmal"/>
    <w:rsid w:val="009E23B9"/>
    <w:rPr>
      <w:rFonts w:ascii="Arial" w:eastAsia="Times New Roman" w:hAnsi="Arial" w:cs="Arial"/>
      <w:b w:val="0"/>
      <w:bCs w:val="0"/>
      <w:sz w:val="18"/>
      <w:szCs w:val="24"/>
      <w:lang w:eastAsia="de-DE"/>
    </w:rPr>
  </w:style>
  <w:style w:type="character" w:customStyle="1" w:styleId="IQB-MerkmalswertZchn">
    <w:name w:val="IQB-Merkmalswert Zchn"/>
    <w:basedOn w:val="IQB-MerkmalZchn"/>
    <w:link w:val="IQB-Merkmalswert"/>
    <w:rsid w:val="009E23B9"/>
    <w:rPr>
      <w:rFonts w:ascii="Arial" w:eastAsia="Times New Roman" w:hAnsi="Arial" w:cs="Arial"/>
      <w:b w:val="0"/>
      <w:bCs w:val="0"/>
      <w:sz w:val="18"/>
      <w:szCs w:val="24"/>
      <w:lang w:eastAsia="de-DE"/>
    </w:rPr>
  </w:style>
  <w:style w:type="paragraph" w:customStyle="1" w:styleId="IQB-Standard">
    <w:name w:val="#IQB-Standard"/>
    <w:basedOn w:val="Standard"/>
    <w:link w:val="IQB-StandardZchn"/>
    <w:autoRedefine/>
    <w:qFormat/>
    <w:rsid w:val="00300D58"/>
    <w:pPr>
      <w:spacing w:before="60" w:after="120" w:line="240" w:lineRule="auto"/>
      <w:jc w:val="both"/>
    </w:pPr>
    <w:rPr>
      <w:rFonts w:ascii="Arial" w:eastAsia="Times New Roman" w:hAnsi="Arial" w:cs="Arial"/>
      <w:sz w:val="24"/>
      <w:szCs w:val="24"/>
      <w:lang w:eastAsia="de-DE"/>
    </w:rPr>
  </w:style>
  <w:style w:type="character" w:customStyle="1" w:styleId="IQB-StandardZchn">
    <w:name w:val="#IQB-Standard Zchn"/>
    <w:basedOn w:val="Absatz-Standardschriftart"/>
    <w:link w:val="IQB-Standard"/>
    <w:rsid w:val="00300D58"/>
    <w:rPr>
      <w:rFonts w:ascii="Arial" w:eastAsia="Times New Roman" w:hAnsi="Arial" w:cs="Arial"/>
      <w:sz w:val="24"/>
      <w:szCs w:val="24"/>
      <w:lang w:eastAsia="de-DE"/>
    </w:rPr>
  </w:style>
  <w:style w:type="character" w:customStyle="1" w:styleId="IQB-AufgabentitelZchn">
    <w:name w:val="IQB-Aufgabentitel Zchn"/>
    <w:basedOn w:val="Absatz-Standardschriftart"/>
    <w:link w:val="IQB-Aufgabentitel"/>
    <w:rsid w:val="009E23B9"/>
    <w:rPr>
      <w:rFonts w:ascii="Arial" w:eastAsia="Times New Roman" w:hAnsi="Arial" w:cs="Arial"/>
      <w:bCs/>
      <w:kern w:val="32"/>
      <w:sz w:val="28"/>
      <w:szCs w:val="36"/>
      <w:lang w:eastAsia="de-DE"/>
    </w:rPr>
  </w:style>
  <w:style w:type="character" w:styleId="Kommentarzeichen">
    <w:name w:val="annotation reference"/>
    <w:basedOn w:val="Absatz-Standardschriftart"/>
    <w:uiPriority w:val="99"/>
    <w:semiHidden/>
    <w:unhideWhenUsed/>
    <w:rsid w:val="00DE5664"/>
    <w:rPr>
      <w:sz w:val="16"/>
      <w:szCs w:val="16"/>
    </w:rPr>
  </w:style>
  <w:style w:type="paragraph" w:styleId="Kommentartext">
    <w:name w:val="annotation text"/>
    <w:basedOn w:val="Standard"/>
    <w:link w:val="KommentartextZchn"/>
    <w:uiPriority w:val="99"/>
    <w:semiHidden/>
    <w:unhideWhenUsed/>
    <w:rsid w:val="00DE566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5664"/>
    <w:rPr>
      <w:sz w:val="20"/>
      <w:szCs w:val="20"/>
    </w:rPr>
  </w:style>
  <w:style w:type="paragraph" w:styleId="Kommentarthema">
    <w:name w:val="annotation subject"/>
    <w:basedOn w:val="Kommentartext"/>
    <w:next w:val="Kommentartext"/>
    <w:link w:val="KommentarthemaZchn"/>
    <w:uiPriority w:val="99"/>
    <w:semiHidden/>
    <w:unhideWhenUsed/>
    <w:rsid w:val="00DE5664"/>
    <w:rPr>
      <w:b/>
      <w:bCs/>
    </w:rPr>
  </w:style>
  <w:style w:type="character" w:customStyle="1" w:styleId="KommentarthemaZchn">
    <w:name w:val="Kommentarthema Zchn"/>
    <w:basedOn w:val="KommentartextZchn"/>
    <w:link w:val="Kommentarthema"/>
    <w:uiPriority w:val="99"/>
    <w:semiHidden/>
    <w:rsid w:val="00DE5664"/>
    <w:rPr>
      <w:b/>
      <w:bCs/>
      <w:sz w:val="20"/>
      <w:szCs w:val="20"/>
    </w:rPr>
  </w:style>
  <w:style w:type="paragraph" w:styleId="Sprechblasentext">
    <w:name w:val="Balloon Text"/>
    <w:basedOn w:val="Standard"/>
    <w:link w:val="SprechblasentextZchn"/>
    <w:uiPriority w:val="99"/>
    <w:semiHidden/>
    <w:unhideWhenUsed/>
    <w:rsid w:val="00DE56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5664"/>
    <w:rPr>
      <w:rFonts w:ascii="Segoe UI" w:hAnsi="Segoe UI" w:cs="Segoe UI"/>
      <w:sz w:val="18"/>
      <w:szCs w:val="18"/>
    </w:rPr>
  </w:style>
  <w:style w:type="paragraph" w:styleId="Funotentext">
    <w:name w:val="footnote text"/>
    <w:basedOn w:val="Standard"/>
    <w:link w:val="FunotentextZchn"/>
    <w:uiPriority w:val="99"/>
    <w:semiHidden/>
    <w:unhideWhenUsed/>
    <w:rsid w:val="007B67B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67B6"/>
    <w:rPr>
      <w:sz w:val="20"/>
      <w:szCs w:val="20"/>
    </w:rPr>
  </w:style>
  <w:style w:type="character" w:styleId="Funotenzeichen">
    <w:name w:val="footnote reference"/>
    <w:basedOn w:val="Absatz-Standardschriftart"/>
    <w:uiPriority w:val="99"/>
    <w:semiHidden/>
    <w:unhideWhenUsed/>
    <w:rsid w:val="007B67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5568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Lohmeyer</dc:creator>
  <cp:keywords/>
  <dc:description/>
  <cp:lastModifiedBy>Matthias Stöhr</cp:lastModifiedBy>
  <cp:revision>14</cp:revision>
  <dcterms:created xsi:type="dcterms:W3CDTF">2025-01-21T13:48:00Z</dcterms:created>
  <dcterms:modified xsi:type="dcterms:W3CDTF">2025-06-20T14:59:00Z</dcterms:modified>
</cp:coreProperties>
</file>