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844" w:rsidRPr="00EC3F46" w:rsidRDefault="00F67384" w:rsidP="00F67384">
      <w:pPr>
        <w:rPr>
          <w:rFonts w:ascii="Arial" w:hAnsi="Arial" w:cs="Arial"/>
          <w:sz w:val="28"/>
        </w:rPr>
      </w:pPr>
      <w:r>
        <w:rPr>
          <w:rFonts w:ascii="Arial" w:hAnsi="Arial" w:cs="Arial"/>
          <w:sz w:val="28"/>
        </w:rPr>
        <w:t xml:space="preserve">Didaktische Handreichung: </w:t>
      </w:r>
      <w:r w:rsidR="001E23D9">
        <w:rPr>
          <w:rFonts w:ascii="Arial" w:hAnsi="Arial" w:cs="Arial"/>
          <w:sz w:val="28"/>
        </w:rPr>
        <w:t>Fehlerschwerpunkte</w:t>
      </w:r>
    </w:p>
    <w:p w:rsidR="001E23D9" w:rsidRDefault="001E23D9" w:rsidP="001E23D9">
      <w:pPr>
        <w:pStyle w:val="IQB-Aufgabengrafik"/>
      </w:pPr>
      <w:r>
        <w:rPr>
          <w:noProof/>
          <w:lang w:val="en-US" w:eastAsia="en-US"/>
        </w:rPr>
        <w:drawing>
          <wp:inline distT="0" distB="0" distL="0" distR="0" wp14:anchorId="4D28BBDC" wp14:editId="2EBBC40F">
            <wp:extent cx="5115600" cy="529200"/>
            <wp:effectExtent l="0" t="0" r="0" b="0"/>
            <wp:docPr id="10" name="Inline Text Wrapp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15600" cy="529200"/>
                    </a:xfrm>
                    <a:prstGeom prst="rect">
                      <a:avLst/>
                    </a:prstGeom>
                  </pic:spPr>
                </pic:pic>
              </a:graphicData>
            </a:graphic>
          </wp:inline>
        </w:drawing>
      </w:r>
    </w:p>
    <w:p w:rsidR="001E23D9" w:rsidRDefault="001E23D9" w:rsidP="001E23D9">
      <w:pPr>
        <w:pStyle w:val="IQB-Aufgabensubtitel"/>
      </w:pPr>
      <w:r>
        <w:t>Aufgabenmerkmale</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2068"/>
        <w:gridCol w:w="6994"/>
      </w:tblGrid>
      <w:tr w:rsidR="001E23D9" w:rsidTr="005D33DC">
        <w:tc>
          <w:tcPr>
            <w:tcW w:w="1984" w:type="dxa"/>
            <w:vAlign w:val="center"/>
          </w:tcPr>
          <w:p w:rsidR="001E23D9" w:rsidRDefault="001E23D9" w:rsidP="005D33DC">
            <w:pPr>
              <w:pStyle w:val="IQB-Merkmal"/>
            </w:pPr>
            <w:r>
              <w:t>Thema</w:t>
            </w:r>
          </w:p>
        </w:tc>
        <w:tc>
          <w:tcPr>
            <w:tcW w:w="7086" w:type="dxa"/>
          </w:tcPr>
          <w:p w:rsidR="001E23D9" w:rsidRDefault="001E23D9" w:rsidP="005D33DC">
            <w:pPr>
              <w:pStyle w:val="IQB-Merkmalswert"/>
            </w:pPr>
            <w:r w:rsidRPr="00674904">
              <w:t>Fehlerschwerpunkte erkennen</w:t>
            </w:r>
          </w:p>
        </w:tc>
      </w:tr>
      <w:tr w:rsidR="001E23D9" w:rsidTr="005D33DC">
        <w:tc>
          <w:tcPr>
            <w:tcW w:w="1984" w:type="dxa"/>
            <w:vAlign w:val="center"/>
          </w:tcPr>
          <w:p w:rsidR="001E23D9" w:rsidRDefault="001E23D9" w:rsidP="005D33DC">
            <w:pPr>
              <w:pStyle w:val="IQB-Merkmal"/>
            </w:pPr>
            <w:r>
              <w:t>Textsorte</w:t>
            </w:r>
          </w:p>
        </w:tc>
        <w:tc>
          <w:tcPr>
            <w:tcW w:w="7086" w:type="dxa"/>
          </w:tcPr>
          <w:p w:rsidR="001E23D9" w:rsidRDefault="001E23D9" w:rsidP="005D33DC">
            <w:pPr>
              <w:pStyle w:val="IQB-Merkmalswert"/>
            </w:pPr>
            <w:r>
              <w:t>Kurze Text(-e/-fragmente)</w:t>
            </w:r>
          </w:p>
        </w:tc>
      </w:tr>
      <w:tr w:rsidR="001E23D9" w:rsidTr="005D33DC">
        <w:tc>
          <w:tcPr>
            <w:tcW w:w="1984" w:type="dxa"/>
            <w:vAlign w:val="center"/>
          </w:tcPr>
          <w:p w:rsidR="001E23D9" w:rsidRDefault="001E23D9" w:rsidP="005D33DC">
            <w:pPr>
              <w:pStyle w:val="IQB-Merkmal"/>
            </w:pPr>
            <w:r>
              <w:t>Aufgabenbeschreibung</w:t>
            </w:r>
          </w:p>
        </w:tc>
        <w:tc>
          <w:tcPr>
            <w:tcW w:w="7086" w:type="dxa"/>
          </w:tcPr>
          <w:p w:rsidR="001E23D9" w:rsidRDefault="001E23D9" w:rsidP="005D33DC">
            <w:pPr>
              <w:pStyle w:val="IQB-Merkmalswert"/>
            </w:pPr>
            <w:r>
              <w:t>Diese Aufgabe besteht aus einer kurzen Arbeitsanweisung und jeweils einem zwei- bis dreizeiligen Kurztext pro Teilaufgabe. Die Kurztexte bestehen überwiegend aus syntaktisch einfachen Einzelsätzen mit geläufigem Wortschatz. Sie enthalten jeweils sechs Fehlerwörter, die durch Unterstreichungen optisch hervorgehoben sind.</w:t>
            </w:r>
          </w:p>
        </w:tc>
      </w:tr>
      <w:tr w:rsidR="001E23D9" w:rsidTr="005D33DC">
        <w:tc>
          <w:tcPr>
            <w:tcW w:w="1984" w:type="dxa"/>
            <w:vAlign w:val="center"/>
          </w:tcPr>
          <w:p w:rsidR="001E23D9" w:rsidRDefault="001E23D9" w:rsidP="005D33DC">
            <w:pPr>
              <w:pStyle w:val="IQB-Merkmal"/>
            </w:pPr>
            <w:r>
              <w:t>Fokus</w:t>
            </w:r>
          </w:p>
        </w:tc>
        <w:tc>
          <w:tcPr>
            <w:tcW w:w="7086" w:type="dxa"/>
          </w:tcPr>
          <w:p w:rsidR="001E23D9" w:rsidRDefault="001E23D9" w:rsidP="005D33DC">
            <w:pPr>
              <w:pStyle w:val="IQB-Merkmalswert"/>
            </w:pPr>
            <w:r w:rsidRPr="001C7DF5">
              <w:t>2.4.2; 2.5.3</w:t>
            </w:r>
            <w:r w:rsidR="00DE19B2">
              <w:rPr>
                <w:rStyle w:val="Funotenzeichen"/>
              </w:rPr>
              <w:footnoteReference w:id="1"/>
            </w:r>
          </w:p>
        </w:tc>
      </w:tr>
    </w:tbl>
    <w:p w:rsidR="001E23D9" w:rsidRDefault="001E23D9" w:rsidP="001E23D9">
      <w:pPr>
        <w:pStyle w:val="IQB-Aufgabengrafik"/>
      </w:pPr>
    </w:p>
    <w:p w:rsidR="001E23D9" w:rsidRDefault="001E23D9" w:rsidP="001E23D9">
      <w:pPr>
        <w:pStyle w:val="IQB-Teilaufgabentitel"/>
      </w:pPr>
      <w:r w:rsidRPr="00D22BF7">
        <w:t>Aufgabenbezogener Kommentar</w:t>
      </w:r>
    </w:p>
    <w:p w:rsidR="001E23D9" w:rsidRPr="005F6336" w:rsidRDefault="001E23D9" w:rsidP="001E23D9">
      <w:pPr>
        <w:pStyle w:val="IQB-Standard"/>
      </w:pPr>
      <w:r w:rsidRPr="005F6336">
        <w:t xml:space="preserve">Zum Ausbau der orthografischen Kompetenz ist es wichtig, die eigenen Fehlerschwerpunkte identifizieren zu können. Nur so kann im Laufe des weiterführenden Orthografieerwerbs (selbstständig) daran gearbeitet werden, diese nach und nach abzubauen. Daher ist diese Aufgabe von besonderem didaktischem Wert. </w:t>
      </w:r>
    </w:p>
    <w:p w:rsidR="001E23D9" w:rsidRPr="005F6336" w:rsidRDefault="001E23D9" w:rsidP="001E23D9">
      <w:pPr>
        <w:pStyle w:val="IQB-Standard"/>
      </w:pPr>
      <w:r w:rsidRPr="005F6336">
        <w:t>Das geschlossene Format und die Hervorhebung der Fehler wirken erleichternd bei der Bearbeitung aller Teilaufgaben. Erschwert wird die Bearbeitung jeweils dadurch, dass die anderen Antwortmöglichkeiten auf den ersten Blick auch plausibel erscheinen und die Schülerinnen und Schüler genau hinschauen müssen, um den Fehlerschwerpunkt eigenständig bestimmen zu können.</w:t>
      </w:r>
    </w:p>
    <w:p w:rsidR="00D121F1" w:rsidRDefault="00D121F1" w:rsidP="001E23D9">
      <w:pPr>
        <w:pStyle w:val="IQB-Teilaufgabensubtitel"/>
      </w:pPr>
    </w:p>
    <w:p w:rsidR="001E23D9" w:rsidRDefault="00D121F1" w:rsidP="001E23D9">
      <w:pPr>
        <w:pStyle w:val="IQB-Teilaufgabensubtitel"/>
      </w:pPr>
      <w:r>
        <w:t xml:space="preserve">Merkmale </w:t>
      </w:r>
      <w:r w:rsidR="001E23D9">
        <w:t>Teilaufgabe</w:t>
      </w:r>
      <w:r>
        <w:t xml:space="preserve"> 1</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7"/>
        <w:gridCol w:w="6186"/>
      </w:tblGrid>
      <w:tr w:rsidR="001E23D9" w:rsidTr="005D33DC">
        <w:tc>
          <w:tcPr>
            <w:tcW w:w="1967" w:type="dxa"/>
            <w:vAlign w:val="center"/>
          </w:tcPr>
          <w:p w:rsidR="001E23D9" w:rsidRDefault="001E23D9" w:rsidP="005D33DC">
            <w:pPr>
              <w:pStyle w:val="IQB-Merkmal"/>
            </w:pPr>
            <w:r>
              <w:t>Bildungsstandard</w:t>
            </w:r>
          </w:p>
        </w:tc>
        <w:tc>
          <w:tcPr>
            <w:tcW w:w="6186" w:type="dxa"/>
          </w:tcPr>
          <w:p w:rsidR="001E23D9" w:rsidRDefault="001E23D9" w:rsidP="005D33DC">
            <w:pPr>
              <w:pStyle w:val="IQB-Merkmalswert"/>
            </w:pPr>
            <w:r>
              <w:t>HSA: Verfahren zur Überprüfung der sprachlichen Richtigkeit kennen und nutzen // MSA: Strategien zur Überprüfung der sprachlichen Richtigkeit und Rechtschreibung anwenden (2.4.2); HSA: individuelle Fehlerschwerpunkte erkennen und Fehler durch Anwendung von Rechtschreibstrategien vermeiden: z. B. Ableiten, Wortverwandtschaften suchen, grammatisches Wissen nutzen // MSA: individuelle Fehlerschwerpunkte erkennen und mit Hilfe von Rechtschreibstrategien abbauen, insbesondere Nachschlagen, Ableiten, Wortverwandtschaften suchen, grammatisches Wissen anwenden (2.5.3)</w:t>
            </w:r>
          </w:p>
        </w:tc>
      </w:tr>
      <w:tr w:rsidR="001E23D9" w:rsidTr="005D33DC">
        <w:tc>
          <w:tcPr>
            <w:tcW w:w="1967" w:type="dxa"/>
            <w:vAlign w:val="center"/>
          </w:tcPr>
          <w:p w:rsidR="001E23D9" w:rsidRDefault="001E23D9" w:rsidP="005D33DC">
            <w:pPr>
              <w:pStyle w:val="IQB-Merkmal"/>
            </w:pPr>
            <w:r>
              <w:t>Kompetenzstufe</w:t>
            </w:r>
          </w:p>
        </w:tc>
        <w:tc>
          <w:tcPr>
            <w:tcW w:w="6186" w:type="dxa"/>
          </w:tcPr>
          <w:p w:rsidR="001E23D9" w:rsidRDefault="001E23D9" w:rsidP="005D33DC">
            <w:pPr>
              <w:pStyle w:val="IQB-Merkmalswert"/>
            </w:pPr>
            <w:r>
              <w:t>II</w:t>
            </w:r>
          </w:p>
        </w:tc>
      </w:tr>
      <w:tr w:rsidR="001E23D9" w:rsidTr="005D33DC">
        <w:tc>
          <w:tcPr>
            <w:tcW w:w="1967" w:type="dxa"/>
            <w:vAlign w:val="center"/>
          </w:tcPr>
          <w:p w:rsidR="001E23D9" w:rsidRDefault="001E23D9" w:rsidP="005D33DC">
            <w:pPr>
              <w:pStyle w:val="IQB-Merkmal"/>
            </w:pPr>
            <w:r>
              <w:t>Anforderungsbereich</w:t>
            </w:r>
          </w:p>
        </w:tc>
        <w:tc>
          <w:tcPr>
            <w:tcW w:w="6186" w:type="dxa"/>
          </w:tcPr>
          <w:p w:rsidR="001E23D9" w:rsidRDefault="001E23D9" w:rsidP="005D33DC">
            <w:pPr>
              <w:pStyle w:val="IQB-Merkmalswert"/>
            </w:pPr>
            <w:r>
              <w:t>II</w:t>
            </w:r>
          </w:p>
        </w:tc>
      </w:tr>
    </w:tbl>
    <w:p w:rsidR="001E23D9" w:rsidRDefault="001E23D9" w:rsidP="001E23D9">
      <w:pPr>
        <w:pStyle w:val="IQB-Teilaufgabentitel"/>
      </w:pPr>
      <w:r w:rsidRPr="00D22BF7">
        <w:t>Aufgabenbezogener Kommentar</w:t>
      </w:r>
    </w:p>
    <w:p w:rsidR="001E23D9" w:rsidRDefault="001E23D9" w:rsidP="001E23D9">
      <w:pPr>
        <w:pStyle w:val="IQB-Standard"/>
      </w:pPr>
      <w:r w:rsidRPr="00417961">
        <w:t>Der Fehler</w:t>
      </w:r>
      <w:r>
        <w:t>schwerpunkt in der ersten Teila</w:t>
      </w:r>
      <w:r w:rsidRPr="00417961">
        <w:t>ufgabe ist für die meisten Schülerinnen und Schüler vergleichsweise leicht zu erkennen. Bei den Schreibungen *</w:t>
      </w:r>
      <w:proofErr w:type="spellStart"/>
      <w:r w:rsidRPr="00BA4176">
        <w:rPr>
          <w:i/>
          <w:iCs/>
        </w:rPr>
        <w:t>vergeplich</w:t>
      </w:r>
      <w:proofErr w:type="spellEnd"/>
      <w:r w:rsidRPr="00417961">
        <w:t>, *</w:t>
      </w:r>
      <w:proofErr w:type="spellStart"/>
      <w:r w:rsidRPr="00BA4176">
        <w:rPr>
          <w:i/>
          <w:iCs/>
        </w:rPr>
        <w:t>Schuplade</w:t>
      </w:r>
      <w:proofErr w:type="spellEnd"/>
      <w:r w:rsidRPr="00417961">
        <w:t xml:space="preserve"> und *</w:t>
      </w:r>
      <w:proofErr w:type="spellStart"/>
      <w:r w:rsidRPr="00BA4176">
        <w:rPr>
          <w:i/>
          <w:iCs/>
        </w:rPr>
        <w:t>verstaupte</w:t>
      </w:r>
      <w:proofErr w:type="spellEnd"/>
      <w:r w:rsidRPr="00417961">
        <w:t xml:space="preserve"> wurde fälschlich</w:t>
      </w:r>
      <w:r>
        <w:t>e</w:t>
      </w:r>
      <w:r w:rsidRPr="00417961">
        <w:t xml:space="preserve">rweise die Auslautverhärtung im </w:t>
      </w:r>
      <w:r w:rsidRPr="00417961">
        <w:lastRenderedPageBreak/>
        <w:t>Schriftbild wi</w:t>
      </w:r>
      <w:r>
        <w:t>e</w:t>
      </w:r>
      <w:r w:rsidRPr="00417961">
        <w:t>derge</w:t>
      </w:r>
      <w:r>
        <w:t>geben</w:t>
      </w:r>
      <w:r w:rsidRPr="00417961">
        <w:t xml:space="preserve">. Diese Schreibungen </w:t>
      </w:r>
      <w:r>
        <w:t>werden</w:t>
      </w:r>
      <w:r w:rsidRPr="00417961">
        <w:t xml:space="preserve"> jedoch durch das morphologische Prinzip geregelt, sodass an der Schreibung der </w:t>
      </w:r>
      <w:r>
        <w:t>einzelnen</w:t>
      </w:r>
      <w:r w:rsidRPr="00417961">
        <w:t xml:space="preserve"> Form der Bezug zum jeweils zugrunde liegenden Stamm erkennbar wird, obwohl die Konsonanten nicht stimmhaft ausgesprochen werden.</w:t>
      </w:r>
      <w:r w:rsidRPr="003722C5">
        <w:t xml:space="preserve"> </w:t>
      </w:r>
    </w:p>
    <w:p w:rsidR="00D121F1" w:rsidRDefault="00D121F1" w:rsidP="001E23D9">
      <w:pPr>
        <w:pStyle w:val="IQB-Teilaufgabensubtitel"/>
      </w:pPr>
    </w:p>
    <w:p w:rsidR="001E23D9" w:rsidRDefault="00D121F1" w:rsidP="001E23D9">
      <w:pPr>
        <w:pStyle w:val="IQB-Teilaufgabensubtitel"/>
      </w:pPr>
      <w:r>
        <w:t xml:space="preserve">Merkmale </w:t>
      </w:r>
      <w:r w:rsidR="001E23D9">
        <w:t>Teilaufgabe</w:t>
      </w:r>
      <w:r>
        <w:t xml:space="preserve"> 2</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7"/>
        <w:gridCol w:w="6186"/>
      </w:tblGrid>
      <w:tr w:rsidR="001E23D9" w:rsidTr="005D33DC">
        <w:tc>
          <w:tcPr>
            <w:tcW w:w="1967" w:type="dxa"/>
            <w:vAlign w:val="center"/>
          </w:tcPr>
          <w:p w:rsidR="001E23D9" w:rsidRDefault="001E23D9" w:rsidP="005D33DC">
            <w:pPr>
              <w:pStyle w:val="IQB-Merkmal"/>
            </w:pPr>
            <w:r>
              <w:t>Bildungsstandard</w:t>
            </w:r>
          </w:p>
        </w:tc>
        <w:tc>
          <w:tcPr>
            <w:tcW w:w="6186" w:type="dxa"/>
          </w:tcPr>
          <w:p w:rsidR="001E23D9" w:rsidRDefault="001E23D9" w:rsidP="005D33DC">
            <w:pPr>
              <w:pStyle w:val="IQB-Merkmalswert"/>
            </w:pPr>
            <w:r>
              <w:t xml:space="preserve">HSA: Verfahren zur Überprüfung der sprachlichen Richtigkeit kennen und nutzen // MSA: Strategien zur Überprüfung der sprachlichen Richtigkeit und Rechtschreibung anwenden (2.4.2); HSA: individuelle Fehlerschwerpunkte erkennen und Fehler durch Anwendung von Rechtschreibstrategien vermeiden: z. B. Ableiten, Wortverwandtschaften suchen, grammatisches Wissen nutzen // MSA: </w:t>
            </w:r>
            <w:r w:rsidRPr="00E01172">
              <w:t xml:space="preserve">individuelle Fehlerschwerpunkte erkennen und mit Hilfe von Rechtschreibstrategien abbauen, insbesondere </w:t>
            </w:r>
            <w:r>
              <w:t>N</w:t>
            </w:r>
            <w:r w:rsidRPr="00E01172">
              <w:t>achschlagen, Ableiten, Wortverwandtschaften suchen,</w:t>
            </w:r>
            <w:r>
              <w:t xml:space="preserve"> grammatisches Wissen anwenden (2.5.3)</w:t>
            </w:r>
          </w:p>
        </w:tc>
      </w:tr>
      <w:tr w:rsidR="001E23D9" w:rsidTr="005D33DC">
        <w:tc>
          <w:tcPr>
            <w:tcW w:w="1967" w:type="dxa"/>
            <w:vAlign w:val="center"/>
          </w:tcPr>
          <w:p w:rsidR="001E23D9" w:rsidRDefault="001E23D9" w:rsidP="005D33DC">
            <w:pPr>
              <w:pStyle w:val="IQB-Merkmal"/>
            </w:pPr>
            <w:r>
              <w:t>Kompetenzstufe</w:t>
            </w:r>
          </w:p>
        </w:tc>
        <w:tc>
          <w:tcPr>
            <w:tcW w:w="6186" w:type="dxa"/>
          </w:tcPr>
          <w:p w:rsidR="001E23D9" w:rsidRDefault="001E23D9" w:rsidP="005D33DC">
            <w:pPr>
              <w:pStyle w:val="IQB-Merkmalswert"/>
            </w:pPr>
            <w:r>
              <w:t>III</w:t>
            </w:r>
          </w:p>
        </w:tc>
      </w:tr>
      <w:tr w:rsidR="001E23D9" w:rsidTr="005D33DC">
        <w:tc>
          <w:tcPr>
            <w:tcW w:w="1967" w:type="dxa"/>
            <w:vAlign w:val="center"/>
          </w:tcPr>
          <w:p w:rsidR="001E23D9" w:rsidRDefault="001E23D9" w:rsidP="005D33DC">
            <w:pPr>
              <w:pStyle w:val="IQB-Merkmal"/>
            </w:pPr>
            <w:r>
              <w:t>Anforderungsbereich</w:t>
            </w:r>
          </w:p>
        </w:tc>
        <w:tc>
          <w:tcPr>
            <w:tcW w:w="6186" w:type="dxa"/>
          </w:tcPr>
          <w:p w:rsidR="001E23D9" w:rsidRDefault="001E23D9" w:rsidP="005D33DC">
            <w:pPr>
              <w:pStyle w:val="IQB-Merkmalswert"/>
            </w:pPr>
            <w:r>
              <w:t>II</w:t>
            </w:r>
          </w:p>
        </w:tc>
      </w:tr>
    </w:tbl>
    <w:p w:rsidR="001E23D9" w:rsidRPr="00076255" w:rsidRDefault="001E23D9" w:rsidP="001E23D9">
      <w:pPr>
        <w:pStyle w:val="IQB-Teilaufgabentitel"/>
      </w:pPr>
      <w:r w:rsidRPr="00076255">
        <w:t>Aufgabenbezogener Kommentar</w:t>
      </w:r>
    </w:p>
    <w:p w:rsidR="001E23D9" w:rsidRDefault="001E23D9" w:rsidP="001E23D9">
      <w:pPr>
        <w:pStyle w:val="IQB-Standard"/>
      </w:pPr>
      <w:r w:rsidRPr="00E53D87">
        <w:t>Hier muss von den Schülerinnen und Schü</w:t>
      </w:r>
      <w:r>
        <w:t>lern</w:t>
      </w:r>
      <w:r w:rsidRPr="00E53D87">
        <w:t xml:space="preserve"> erkann</w:t>
      </w:r>
      <w:r>
        <w:t>t</w:t>
      </w:r>
      <w:r w:rsidRPr="00E53D87">
        <w:t xml:space="preserve"> werden, dass der Fehlerschwerpunkt in der Verdopplung von Konsonanten besteht. </w:t>
      </w:r>
    </w:p>
    <w:p w:rsidR="001E23D9" w:rsidRPr="00E53D87" w:rsidRDefault="001E23D9" w:rsidP="001E23D9">
      <w:pPr>
        <w:pStyle w:val="IQB-Standard"/>
      </w:pPr>
      <w:r w:rsidRPr="00E53D87">
        <w:t xml:space="preserve">In </w:t>
      </w:r>
      <w:r>
        <w:t>einem</w:t>
      </w:r>
      <w:r w:rsidRPr="00E53D87">
        <w:t xml:space="preserve"> der drei falsch geschriebenen Wörter </w:t>
      </w:r>
      <w:r>
        <w:t>(</w:t>
      </w:r>
      <w:r w:rsidRPr="00E53D87">
        <w:t>„</w:t>
      </w:r>
      <w:proofErr w:type="spellStart"/>
      <w:r>
        <w:rPr>
          <w:i/>
          <w:iCs/>
        </w:rPr>
        <w:t>füt-tern</w:t>
      </w:r>
      <w:proofErr w:type="spellEnd"/>
      <w:r w:rsidRPr="00E53D87">
        <w:t>“) steht in der Infinitivform ein Doppelkonsonant, um das Silbengelenk und</w:t>
      </w:r>
      <w:r>
        <w:t xml:space="preserve"> damit </w:t>
      </w:r>
      <w:r w:rsidRPr="00E53D87">
        <w:t>die Kürze des Vokals in der betonten Silbe zu markieren.</w:t>
      </w:r>
      <w:r>
        <w:t xml:space="preserve"> </w:t>
      </w:r>
      <w:r w:rsidRPr="0055227A">
        <w:t xml:space="preserve">Bei </w:t>
      </w:r>
      <w:r w:rsidRPr="0055227A">
        <w:rPr>
          <w:i/>
          <w:iCs/>
        </w:rPr>
        <w:t>*</w:t>
      </w:r>
      <w:proofErr w:type="spellStart"/>
      <w:r w:rsidRPr="0055227A">
        <w:rPr>
          <w:i/>
          <w:iCs/>
        </w:rPr>
        <w:t>könten</w:t>
      </w:r>
      <w:proofErr w:type="spellEnd"/>
      <w:r w:rsidRPr="0055227A">
        <w:t xml:space="preserve"> und *</w:t>
      </w:r>
      <w:proofErr w:type="spellStart"/>
      <w:r w:rsidRPr="0055227A">
        <w:rPr>
          <w:i/>
          <w:iCs/>
        </w:rPr>
        <w:t>solten</w:t>
      </w:r>
      <w:proofErr w:type="spellEnd"/>
      <w:r w:rsidRPr="0055227A">
        <w:t xml:space="preserve"> muss der Konsonant auch verdoppelt werden, obwohl in flektierten Formen wie diesen dem silbischen Prinzip zufolge keine Konsonantendopplung notwendig wäre, da die Silben bereits geschlossen </w:t>
      </w:r>
      <w:r>
        <w:t>sind</w:t>
      </w:r>
      <w:r w:rsidRPr="0055227A">
        <w:t>. Jedoch soll</w:t>
      </w:r>
      <w:r>
        <w:t xml:space="preserve"> </w:t>
      </w:r>
      <w:r w:rsidRPr="00E53D87">
        <w:t xml:space="preserve">eine größtmögliche Ähnlichkeit zum Stamm </w:t>
      </w:r>
      <w:r>
        <w:t>„</w:t>
      </w:r>
      <w:proofErr w:type="spellStart"/>
      <w:r w:rsidRPr="00E53D87">
        <w:rPr>
          <w:i/>
        </w:rPr>
        <w:t>k</w:t>
      </w:r>
      <w:r>
        <w:rPr>
          <w:i/>
        </w:rPr>
        <w:t>önn</w:t>
      </w:r>
      <w:proofErr w:type="spellEnd"/>
      <w:r w:rsidRPr="00E53D87">
        <w:rPr>
          <w:i/>
        </w:rPr>
        <w:t>(en)</w:t>
      </w:r>
      <w:r>
        <w:rPr>
          <w:i/>
        </w:rPr>
        <w:t>“</w:t>
      </w:r>
      <w:r w:rsidRPr="00E53D87">
        <w:t xml:space="preserve"> </w:t>
      </w:r>
      <w:r>
        <w:t>bzw. „</w:t>
      </w:r>
      <w:r w:rsidRPr="00BA4176">
        <w:rPr>
          <w:i/>
          <w:iCs/>
        </w:rPr>
        <w:t>soll(en)</w:t>
      </w:r>
      <w:r>
        <w:t xml:space="preserve">“ </w:t>
      </w:r>
      <w:r w:rsidRPr="00E53D87">
        <w:t xml:space="preserve">sichtbar </w:t>
      </w:r>
      <w:r>
        <w:t>sein.</w:t>
      </w:r>
      <w:r w:rsidRPr="00E53D87">
        <w:t xml:space="preserve"> Die</w:t>
      </w:r>
      <w:r>
        <w:t>se</w:t>
      </w:r>
      <w:r w:rsidRPr="00E53D87">
        <w:t xml:space="preserve"> Schreibung</w:t>
      </w:r>
      <w:r>
        <w:t xml:space="preserve">en sind </w:t>
      </w:r>
      <w:r w:rsidRPr="00E53D87">
        <w:t>also morphologi</w:t>
      </w:r>
      <w:r>
        <w:t xml:space="preserve">sch begründet. </w:t>
      </w:r>
    </w:p>
    <w:p w:rsidR="00D121F1" w:rsidRDefault="00D121F1" w:rsidP="001E23D9">
      <w:pPr>
        <w:pStyle w:val="IQB-Teilaufgabensubtitel"/>
      </w:pPr>
    </w:p>
    <w:p w:rsidR="001E23D9" w:rsidRDefault="00D121F1" w:rsidP="001E23D9">
      <w:pPr>
        <w:pStyle w:val="IQB-Teilaufgabensubtitel"/>
      </w:pPr>
      <w:r>
        <w:t xml:space="preserve">Merkmale </w:t>
      </w:r>
      <w:r w:rsidR="001E23D9">
        <w:t>Teilaufgabe</w:t>
      </w:r>
      <w:r>
        <w:t xml:space="preserve"> 3</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7"/>
        <w:gridCol w:w="6186"/>
      </w:tblGrid>
      <w:tr w:rsidR="001E23D9" w:rsidTr="005D33DC">
        <w:tc>
          <w:tcPr>
            <w:tcW w:w="1967" w:type="dxa"/>
            <w:vAlign w:val="center"/>
          </w:tcPr>
          <w:p w:rsidR="001E23D9" w:rsidRDefault="001E23D9" w:rsidP="005D33DC">
            <w:pPr>
              <w:pStyle w:val="IQB-Merkmal"/>
            </w:pPr>
            <w:r>
              <w:t>Bildungsstandard</w:t>
            </w:r>
          </w:p>
        </w:tc>
        <w:tc>
          <w:tcPr>
            <w:tcW w:w="6186" w:type="dxa"/>
          </w:tcPr>
          <w:p w:rsidR="001E23D9" w:rsidRDefault="001E23D9" w:rsidP="005D33DC">
            <w:pPr>
              <w:pStyle w:val="IQB-Merkmalswert"/>
            </w:pPr>
            <w:r>
              <w:t xml:space="preserve">HSA: Verfahren zur Überprüfung der sprachlichen Richtigkeit kennen und nutzen // MSA: Strategien zur Überprüfung der sprachlichen Richtigkeit und Rechtschreibung anwenden (2.4.2); HSA: individuelle Fehlerschwerpunkte erkennen und Fehler durch Anwendung von Rechtschreibstrategien vermeiden: z. B. Ableiten, Wortverwandtschaften suchen, grammatisches Wissen nutzen // MSA: </w:t>
            </w:r>
            <w:r w:rsidRPr="00E01172">
              <w:t xml:space="preserve">individuelle Fehlerschwerpunkte erkennen und mit Hilfe von Rechtschreibstrategien abbauen, insbesondere </w:t>
            </w:r>
            <w:r>
              <w:t>N</w:t>
            </w:r>
            <w:r w:rsidRPr="00E01172">
              <w:t xml:space="preserve">achschlagen, Ableiten, Wortverwandtschaften suchen, grammatisches Wissen anwenden </w:t>
            </w:r>
            <w:r>
              <w:t>(2.5.3)</w:t>
            </w:r>
          </w:p>
        </w:tc>
      </w:tr>
      <w:tr w:rsidR="001E23D9" w:rsidTr="005D33DC">
        <w:tc>
          <w:tcPr>
            <w:tcW w:w="1967" w:type="dxa"/>
            <w:vAlign w:val="center"/>
          </w:tcPr>
          <w:p w:rsidR="001E23D9" w:rsidRDefault="001E23D9" w:rsidP="005D33DC">
            <w:pPr>
              <w:pStyle w:val="IQB-Merkmal"/>
            </w:pPr>
            <w:r>
              <w:t>Kompetenzstufe</w:t>
            </w:r>
          </w:p>
        </w:tc>
        <w:tc>
          <w:tcPr>
            <w:tcW w:w="6186" w:type="dxa"/>
          </w:tcPr>
          <w:p w:rsidR="001E23D9" w:rsidRDefault="001E23D9" w:rsidP="005D33DC">
            <w:pPr>
              <w:pStyle w:val="IQB-Merkmalswert"/>
            </w:pPr>
            <w:r>
              <w:t>III</w:t>
            </w:r>
          </w:p>
        </w:tc>
      </w:tr>
      <w:tr w:rsidR="001E23D9" w:rsidTr="005D33DC">
        <w:tc>
          <w:tcPr>
            <w:tcW w:w="1967" w:type="dxa"/>
            <w:vAlign w:val="center"/>
          </w:tcPr>
          <w:p w:rsidR="001E23D9" w:rsidRDefault="001E23D9" w:rsidP="005D33DC">
            <w:pPr>
              <w:pStyle w:val="IQB-Merkmal"/>
            </w:pPr>
            <w:r>
              <w:t>Anforderungsbereich</w:t>
            </w:r>
          </w:p>
        </w:tc>
        <w:tc>
          <w:tcPr>
            <w:tcW w:w="6186" w:type="dxa"/>
          </w:tcPr>
          <w:p w:rsidR="001E23D9" w:rsidRDefault="001E23D9" w:rsidP="005D33DC">
            <w:pPr>
              <w:pStyle w:val="IQB-Merkmalswert"/>
            </w:pPr>
            <w:r>
              <w:t>II</w:t>
            </w:r>
          </w:p>
        </w:tc>
      </w:tr>
    </w:tbl>
    <w:p w:rsidR="001E23D9" w:rsidRPr="00D22BF7" w:rsidRDefault="001E23D9" w:rsidP="001E23D9">
      <w:pPr>
        <w:pStyle w:val="IQB-Teilaufgabentitel"/>
      </w:pPr>
      <w:r w:rsidRPr="00D22BF7">
        <w:t>Aufgabenbezogener Kommentar</w:t>
      </w:r>
    </w:p>
    <w:p w:rsidR="001E23D9" w:rsidRDefault="001E23D9" w:rsidP="001E23D9">
      <w:pPr>
        <w:pStyle w:val="IQB-Standard"/>
      </w:pPr>
      <w:r>
        <w:t xml:space="preserve">Insbesondere bei dieser Teilaufgabe ist davon auszugehen, dass diese </w:t>
      </w:r>
      <w:r w:rsidRPr="000A11C6">
        <w:t xml:space="preserve">deutlich seltener richtig beantwortet </w:t>
      </w:r>
      <w:r>
        <w:t xml:space="preserve">werden </w:t>
      </w:r>
      <w:r w:rsidRPr="000A11C6">
        <w:t xml:space="preserve">würde, wenn die Fehler nicht bereits markiert wären. </w:t>
      </w:r>
    </w:p>
    <w:p w:rsidR="001E23D9" w:rsidRDefault="001E23D9" w:rsidP="001E23D9">
      <w:pPr>
        <w:pStyle w:val="IQB-Standard"/>
      </w:pPr>
    </w:p>
    <w:p w:rsidR="001E23D9" w:rsidRPr="00BD4544" w:rsidRDefault="001E23D9" w:rsidP="001E23D9">
      <w:pPr>
        <w:pStyle w:val="IQB-Standard"/>
      </w:pPr>
      <w:bookmarkStart w:id="0" w:name="_Hlk27049545"/>
      <w:r w:rsidRPr="00B31570">
        <w:t xml:space="preserve">Die </w:t>
      </w:r>
      <w:r>
        <w:t>/</w:t>
      </w:r>
      <w:r w:rsidRPr="00B31570">
        <w:t xml:space="preserve">das/-Schreibung </w:t>
      </w:r>
      <w:bookmarkEnd w:id="0"/>
      <w:r>
        <w:t>wird</w:t>
      </w:r>
      <w:r w:rsidRPr="00B31570">
        <w:t xml:space="preserve"> als</w:t>
      </w:r>
      <w:r>
        <w:t xml:space="preserve"> eines</w:t>
      </w:r>
      <w:r w:rsidRPr="00B31570">
        <w:t xml:space="preserve"> der </w:t>
      </w:r>
      <w:r>
        <w:t>wichtigsten Problemfelder des weiterführenden Orthografieerwerbs in der Sekundarstufe I angesehen – vor allem</w:t>
      </w:r>
      <w:r w:rsidRPr="00B31570">
        <w:t xml:space="preserve"> mit </w:t>
      </w:r>
      <w:r w:rsidRPr="00B31570">
        <w:lastRenderedPageBreak/>
        <w:t>Blic</w:t>
      </w:r>
      <w:bookmarkStart w:id="1" w:name="_GoBack"/>
      <w:bookmarkEnd w:id="1"/>
      <w:r w:rsidRPr="00B31570">
        <w:t xml:space="preserve">k </w:t>
      </w:r>
      <w:r w:rsidRPr="00BD4544">
        <w:t xml:space="preserve">auf die Schreibung der Konjunktion </w:t>
      </w:r>
      <w:proofErr w:type="gramStart"/>
      <w:r w:rsidRPr="00BD4544">
        <w:t>„</w:t>
      </w:r>
      <w:proofErr w:type="gramEnd"/>
      <w:r w:rsidRPr="00BD4544">
        <w:rPr>
          <w:i/>
        </w:rPr>
        <w:t>dass“</w:t>
      </w:r>
      <w:r w:rsidRPr="00BD4544">
        <w:t>. Die häufige Fehlschreibung d</w:t>
      </w:r>
      <w:r>
        <w:t xml:space="preserve">ieser </w:t>
      </w:r>
      <w:r w:rsidRPr="00BD4544">
        <w:t xml:space="preserve">kann mitunter dadurch erklärt werden, dass Schülerinnen und Schüler grundsätzlich nach der </w:t>
      </w:r>
      <w:r>
        <w:t>phonograph</w:t>
      </w:r>
      <w:r w:rsidRPr="00BD4544">
        <w:t xml:space="preserve">ischen Strategie verschriften, also nach der direkten Laut-Buchstaben-Zuordnung. Die graphematische Markierung der Konjunktion kann man jedoch als leserbezogene grammatische Differenzierungsstütze ansehen, die sie von den anderen Verwendungen des </w:t>
      </w:r>
      <w:r w:rsidRPr="00BD4544">
        <w:rPr>
          <w:i/>
          <w:iCs/>
        </w:rPr>
        <w:t>/das/</w:t>
      </w:r>
      <w:r w:rsidRPr="00BD4544">
        <w:t xml:space="preserve"> unterscheidet</w:t>
      </w:r>
      <w:r>
        <w:t xml:space="preserve">. </w:t>
      </w:r>
      <w:r w:rsidRPr="00BD4544">
        <w:t>Eine fälschlicherweise mit „</w:t>
      </w:r>
      <w:proofErr w:type="gramStart"/>
      <w:r w:rsidRPr="00BD4544">
        <w:t>das</w:t>
      </w:r>
      <w:proofErr w:type="gramEnd"/>
      <w:r w:rsidRPr="00BD4544">
        <w:t>“ geschriebene Konjunktion findet sich in dieser Teilaufgabe im erste</w:t>
      </w:r>
      <w:r>
        <w:t>n</w:t>
      </w:r>
      <w:r w:rsidRPr="00BD4544">
        <w:t xml:space="preserve"> Satzgefüge: </w:t>
      </w:r>
      <w:r w:rsidRPr="00585E84">
        <w:rPr>
          <w:i/>
        </w:rPr>
        <w:t>*[…], das du so ein Problem mit Englisch hast.</w:t>
      </w:r>
    </w:p>
    <w:p w:rsidR="001E23D9" w:rsidRDefault="001E23D9" w:rsidP="001E23D9">
      <w:pPr>
        <w:pStyle w:val="IQB-Standard"/>
      </w:pPr>
      <w:r w:rsidRPr="00BD4544">
        <w:t>Bei der zweiten Fehlschreibung</w:t>
      </w:r>
      <w:r>
        <w:t xml:space="preserve"> </w:t>
      </w:r>
      <w:r w:rsidRPr="00AD2B07">
        <w:t>(</w:t>
      </w:r>
      <w:proofErr w:type="gramStart"/>
      <w:r w:rsidRPr="00AD2B07">
        <w:rPr>
          <w:i/>
          <w:iCs/>
        </w:rPr>
        <w:t>*</w:t>
      </w:r>
      <w:proofErr w:type="gramEnd"/>
      <w:r w:rsidRPr="00AD2B07">
        <w:rPr>
          <w:i/>
          <w:iCs/>
        </w:rPr>
        <w:t>dass Passiv</w:t>
      </w:r>
      <w:r>
        <w:t>) müsste es sich eigentlich um den Artikel „</w:t>
      </w:r>
      <w:r w:rsidRPr="00AD2B07">
        <w:rPr>
          <w:i/>
          <w:iCs/>
        </w:rPr>
        <w:t>das</w:t>
      </w:r>
      <w:r>
        <w:t>“ handeln. Im nächsten Fall (*</w:t>
      </w:r>
      <w:r w:rsidRPr="00AD2B07">
        <w:rPr>
          <w:i/>
          <w:iCs/>
        </w:rPr>
        <w:t>[…] das Referat […], dass du nächste Woche halten musst</w:t>
      </w:r>
      <w:r w:rsidRPr="00AD2B07">
        <w:t>.)</w:t>
      </w:r>
      <w:r>
        <w:t xml:space="preserve"> ist das Relativpronomen „</w:t>
      </w:r>
      <w:r w:rsidRPr="00AD2B07">
        <w:rPr>
          <w:i/>
          <w:iCs/>
        </w:rPr>
        <w:t>das</w:t>
      </w:r>
      <w:r>
        <w:t>“ falsch geschrieben. Das Erkennen dieser Falschschreibung dürfte für viele Schülerinnen und Schüler problematisch sein, da die Analyse dadurch erschwert wird, dass sich das Bezugsnomen „</w:t>
      </w:r>
      <w:r w:rsidRPr="00AD2B07">
        <w:rPr>
          <w:i/>
          <w:iCs/>
        </w:rPr>
        <w:t>Referat</w:t>
      </w:r>
      <w:r>
        <w:t xml:space="preserve">“ nicht direkt vor dem Komma befindet, sondern der Relativsatz am Ende des Satzgefüges steht. </w:t>
      </w:r>
    </w:p>
    <w:p w:rsidR="00D121F1" w:rsidRDefault="00D121F1" w:rsidP="001E23D9">
      <w:pPr>
        <w:pStyle w:val="IQB-Teilaufgabensubtitel"/>
      </w:pPr>
    </w:p>
    <w:p w:rsidR="001E23D9" w:rsidRDefault="00D121F1" w:rsidP="001E23D9">
      <w:pPr>
        <w:pStyle w:val="IQB-Teilaufgabensubtitel"/>
      </w:pPr>
      <w:r>
        <w:t xml:space="preserve">Merkmale </w:t>
      </w:r>
      <w:r w:rsidR="001E23D9">
        <w:t>Teilaufgabe</w:t>
      </w:r>
      <w:r>
        <w:t xml:space="preserve"> 4</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7"/>
        <w:gridCol w:w="6186"/>
      </w:tblGrid>
      <w:tr w:rsidR="001E23D9" w:rsidTr="005D33DC">
        <w:tc>
          <w:tcPr>
            <w:tcW w:w="1967" w:type="dxa"/>
            <w:vAlign w:val="center"/>
          </w:tcPr>
          <w:p w:rsidR="001E23D9" w:rsidRDefault="001E23D9" w:rsidP="005D33DC">
            <w:pPr>
              <w:pStyle w:val="IQB-Merkmal"/>
            </w:pPr>
            <w:r>
              <w:t>Bildungsstandard</w:t>
            </w:r>
          </w:p>
        </w:tc>
        <w:tc>
          <w:tcPr>
            <w:tcW w:w="6186" w:type="dxa"/>
          </w:tcPr>
          <w:p w:rsidR="001E23D9" w:rsidRDefault="001E23D9" w:rsidP="005D33DC">
            <w:pPr>
              <w:pStyle w:val="IQB-Merkmalswert"/>
            </w:pPr>
            <w:r>
              <w:t xml:space="preserve">HSA: Verfahren zur Überprüfung der sprachlichen Richtigkeit kennen und nutzen // MSA: Strategien zur Überprüfung der sprachlichen Richtigkeit und Rechtschreibung anwenden (2.4.2); HSA: individuelle Fehlerschwerpunkte erkennen und Fehler durch Anwendung von Rechtschreibstrategien vermeiden: z. B. Ableiten, Wortverwandtschaften suchen, grammatisches Wissen nutzen // MSA: </w:t>
            </w:r>
            <w:r w:rsidRPr="007A52B8">
              <w:t xml:space="preserve">individuelle Fehlerschwerpunkte erkennen und mit Hilfe von Rechtschreibstrategien abbauen, insbesondere </w:t>
            </w:r>
            <w:r>
              <w:t>N</w:t>
            </w:r>
            <w:r w:rsidRPr="007A52B8">
              <w:t xml:space="preserve">achschlagen, Ableiten, Wortverwandtschaften suchen, grammatisches Wissen anwenden </w:t>
            </w:r>
            <w:r>
              <w:t>(2.5.3)</w:t>
            </w:r>
          </w:p>
        </w:tc>
      </w:tr>
      <w:tr w:rsidR="001E23D9" w:rsidTr="005D33DC">
        <w:tc>
          <w:tcPr>
            <w:tcW w:w="1967" w:type="dxa"/>
            <w:vAlign w:val="center"/>
          </w:tcPr>
          <w:p w:rsidR="001E23D9" w:rsidRDefault="001E23D9" w:rsidP="005D33DC">
            <w:pPr>
              <w:pStyle w:val="IQB-Merkmal"/>
            </w:pPr>
            <w:r>
              <w:t>Kompetenzstufe</w:t>
            </w:r>
          </w:p>
        </w:tc>
        <w:tc>
          <w:tcPr>
            <w:tcW w:w="6186" w:type="dxa"/>
          </w:tcPr>
          <w:p w:rsidR="001E23D9" w:rsidRDefault="001E23D9" w:rsidP="005D33DC">
            <w:pPr>
              <w:pStyle w:val="IQB-Merkmalswert"/>
            </w:pPr>
            <w:r>
              <w:t>II</w:t>
            </w:r>
          </w:p>
        </w:tc>
      </w:tr>
      <w:tr w:rsidR="001E23D9" w:rsidTr="005D33DC">
        <w:tc>
          <w:tcPr>
            <w:tcW w:w="1967" w:type="dxa"/>
            <w:vAlign w:val="center"/>
          </w:tcPr>
          <w:p w:rsidR="001E23D9" w:rsidRDefault="001E23D9" w:rsidP="005D33DC">
            <w:pPr>
              <w:pStyle w:val="IQB-Merkmal"/>
            </w:pPr>
            <w:r>
              <w:t>Anforderungsbereich</w:t>
            </w:r>
          </w:p>
        </w:tc>
        <w:tc>
          <w:tcPr>
            <w:tcW w:w="6186" w:type="dxa"/>
          </w:tcPr>
          <w:p w:rsidR="001E23D9" w:rsidRDefault="001E23D9" w:rsidP="005D33DC">
            <w:pPr>
              <w:pStyle w:val="IQB-Merkmalswert"/>
            </w:pPr>
            <w:r>
              <w:t>II</w:t>
            </w:r>
          </w:p>
        </w:tc>
      </w:tr>
    </w:tbl>
    <w:p w:rsidR="001E23D9" w:rsidRPr="00D22BF7" w:rsidRDefault="001E23D9" w:rsidP="001E23D9">
      <w:pPr>
        <w:pStyle w:val="IQB-Teilaufgabentitel"/>
      </w:pPr>
      <w:r w:rsidRPr="00D22BF7">
        <w:t>Aufgabenbezogener Kommentar</w:t>
      </w:r>
    </w:p>
    <w:p w:rsidR="001E23D9" w:rsidRDefault="001E23D9" w:rsidP="001E23D9">
      <w:pPr>
        <w:pStyle w:val="IQB-Standard"/>
      </w:pPr>
      <w:r w:rsidRPr="00223583">
        <w:t>In dieser Teilau</w:t>
      </w:r>
      <w:r>
        <w:t>fgabe mu</w:t>
      </w:r>
      <w:r w:rsidRPr="00223583">
        <w:t xml:space="preserve">ss die Schreibung von Wörtern mit </w:t>
      </w:r>
      <w:r>
        <w:t>&lt;</w:t>
      </w:r>
      <w:r w:rsidRPr="00223583">
        <w:t>z</w:t>
      </w:r>
      <w:r>
        <w:t>&gt;</w:t>
      </w:r>
      <w:r w:rsidRPr="00223583">
        <w:t xml:space="preserve"> und </w:t>
      </w:r>
      <w:r>
        <w:t>&lt;</w:t>
      </w:r>
      <w:proofErr w:type="spellStart"/>
      <w:r w:rsidRPr="00223583">
        <w:t>tz</w:t>
      </w:r>
      <w:proofErr w:type="spellEnd"/>
      <w:r>
        <w:t>&gt;</w:t>
      </w:r>
      <w:r w:rsidRPr="00223583">
        <w:t xml:space="preserve"> als Fehlerschwerpunkt erkannt werden. In zwei Fällen müsste </w:t>
      </w:r>
      <w:r>
        <w:t>&lt;</w:t>
      </w:r>
      <w:proofErr w:type="spellStart"/>
      <w:r>
        <w:t>t</w:t>
      </w:r>
      <w:r w:rsidRPr="00223583">
        <w:t>z</w:t>
      </w:r>
      <w:proofErr w:type="spellEnd"/>
      <w:r>
        <w:t>&gt;</w:t>
      </w:r>
      <w:r w:rsidRPr="00223583">
        <w:t xml:space="preserve"> stehen, da es sich um Silbengelenke handelt</w:t>
      </w:r>
      <w:r>
        <w:t>, bei denen die Regel</w:t>
      </w:r>
      <w:r w:rsidRPr="00223583">
        <w:t xml:space="preserve"> greift, dass </w:t>
      </w:r>
      <w:r>
        <w:t>&lt;</w:t>
      </w:r>
      <w:r w:rsidRPr="00223583">
        <w:t>z</w:t>
      </w:r>
      <w:r>
        <w:t>&gt;</w:t>
      </w:r>
      <w:r w:rsidRPr="00223583">
        <w:t xml:space="preserve"> im</w:t>
      </w:r>
      <w:r>
        <w:t xml:space="preserve"> Silbengelenk nicht zu &lt;</w:t>
      </w:r>
      <w:proofErr w:type="spellStart"/>
      <w:r>
        <w:t>zz</w:t>
      </w:r>
      <w:proofErr w:type="spellEnd"/>
      <w:r>
        <w:t>&gt; verd</w:t>
      </w:r>
      <w:r w:rsidRPr="00223583">
        <w:t>oppelt wird, sondern an diesen Stellen „</w:t>
      </w:r>
      <w:proofErr w:type="spellStart"/>
      <w:r w:rsidRPr="00223583">
        <w:t>tz</w:t>
      </w:r>
      <w:proofErr w:type="spellEnd"/>
      <w:r w:rsidRPr="00223583">
        <w:t xml:space="preserve">“ steht: </w:t>
      </w:r>
    </w:p>
    <w:p w:rsidR="001E23D9" w:rsidRPr="00F356F6" w:rsidRDefault="001E23D9" w:rsidP="001E23D9">
      <w:pPr>
        <w:pStyle w:val="IQB-Standard"/>
      </w:pPr>
      <w:r w:rsidRPr="00F356F6">
        <w:rPr>
          <w:i/>
        </w:rPr>
        <w:t>*</w:t>
      </w:r>
      <w:proofErr w:type="spellStart"/>
      <w:r w:rsidRPr="00F356F6">
        <w:rPr>
          <w:i/>
        </w:rPr>
        <w:t>Fußspizen</w:t>
      </w:r>
      <w:proofErr w:type="spellEnd"/>
      <w:r w:rsidRPr="00F356F6">
        <w:t xml:space="preserve"> </w:t>
      </w:r>
      <w:r w:rsidRPr="00F356F6">
        <w:sym w:font="Wingdings" w:char="F0E0"/>
      </w:r>
      <w:r w:rsidRPr="00F356F6">
        <w:t xml:space="preserve"> „Fußspitzen“ </w:t>
      </w:r>
    </w:p>
    <w:p w:rsidR="001E23D9" w:rsidRDefault="001E23D9" w:rsidP="001E23D9">
      <w:pPr>
        <w:pStyle w:val="IQB-Standard"/>
      </w:pPr>
      <w:r w:rsidRPr="00F356F6">
        <w:rPr>
          <w:i/>
        </w:rPr>
        <w:t>*Duzend</w:t>
      </w:r>
      <w:r w:rsidRPr="00F356F6">
        <w:t xml:space="preserve"> </w:t>
      </w:r>
      <w:r w:rsidRPr="00F356F6">
        <w:sym w:font="Wingdings" w:char="F0E0"/>
      </w:r>
      <w:r w:rsidRPr="00F356F6">
        <w:t xml:space="preserve"> „Dutzend“</w:t>
      </w:r>
    </w:p>
    <w:p w:rsidR="001E23D9" w:rsidRDefault="001E23D9" w:rsidP="001E23D9">
      <w:pPr>
        <w:pStyle w:val="IQB-Standard"/>
      </w:pPr>
      <w:r>
        <w:t xml:space="preserve">Im Falle </w:t>
      </w:r>
      <w:r w:rsidRPr="00223583">
        <w:t>von „</w:t>
      </w:r>
      <w:r w:rsidRPr="00E73731">
        <w:rPr>
          <w:i/>
          <w:iCs/>
        </w:rPr>
        <w:t>Haarwurzeln</w:t>
      </w:r>
      <w:r w:rsidRPr="00223583">
        <w:t>“ liegt jedoch kein Silbengelenk vor, sodass hier die Verschriftung als *</w:t>
      </w:r>
      <w:proofErr w:type="spellStart"/>
      <w:r w:rsidRPr="00E73731">
        <w:rPr>
          <w:i/>
          <w:iCs/>
        </w:rPr>
        <w:t>Haarwurtzel</w:t>
      </w:r>
      <w:proofErr w:type="spellEnd"/>
      <w:r>
        <w:t xml:space="preserve"> falsch ist. Dieser Fehler</w:t>
      </w:r>
      <w:r w:rsidRPr="00223583">
        <w:t>sch</w:t>
      </w:r>
      <w:r>
        <w:t>w</w:t>
      </w:r>
      <w:r w:rsidRPr="00223583">
        <w:t>erpunkt ist für die meiste</w:t>
      </w:r>
      <w:r>
        <w:t>n Schülerinnen und Schüler vergleichsweise leicht zu erkennen.</w:t>
      </w:r>
    </w:p>
    <w:p w:rsidR="00D121F1" w:rsidRDefault="00D121F1" w:rsidP="001E23D9">
      <w:pPr>
        <w:pStyle w:val="IQB-Teilaufgabentitel"/>
      </w:pPr>
    </w:p>
    <w:p w:rsidR="001E23D9" w:rsidRPr="007231CB" w:rsidRDefault="001E23D9" w:rsidP="001E23D9">
      <w:pPr>
        <w:pStyle w:val="IQB-Teilaufgabentitel"/>
      </w:pPr>
      <w:r w:rsidRPr="007231CB">
        <w:t>Anregungen für den Unterricht</w:t>
      </w:r>
    </w:p>
    <w:p w:rsidR="001E23D9" w:rsidRPr="00673A95" w:rsidRDefault="001E23D9" w:rsidP="001E23D9">
      <w:pPr>
        <w:pStyle w:val="IQB-Standard"/>
      </w:pPr>
      <w:r w:rsidRPr="00673A95">
        <w:t>Die Schülerinnen und Schüler sollten zum selbstständigen Arbeiten an ihren eigenen</w:t>
      </w:r>
      <w:r>
        <w:t xml:space="preserve"> </w:t>
      </w:r>
      <w:r w:rsidRPr="00673A95">
        <w:t>Fehlerschwerpunkten ermutigt und gleichzeitig für den eigenen Lernerfolg stärker in die</w:t>
      </w:r>
      <w:r>
        <w:t xml:space="preserve"> </w:t>
      </w:r>
      <w:r w:rsidRPr="00673A95">
        <w:t>Verantwortung genommen werden. Sie sollten ihre eigenen Texte regelmäßig – auch in Partner</w:t>
      </w:r>
      <w:r>
        <w:t xml:space="preserve">- </w:t>
      </w:r>
      <w:r w:rsidRPr="00673A95">
        <w:t>oder</w:t>
      </w:r>
      <w:r>
        <w:t xml:space="preserve"> </w:t>
      </w:r>
      <w:r w:rsidRPr="00673A95">
        <w:t>Gruppenarbeit – auf Rechtschreibfehler hin untersuchen. Nachdem die Fehler in den Texten</w:t>
      </w:r>
      <w:r>
        <w:t xml:space="preserve"> </w:t>
      </w:r>
      <w:r w:rsidRPr="00673A95">
        <w:t>identifiziert worden sind, werden zunächst die richtigen Schreibweisen gefunden und begründet.</w:t>
      </w:r>
      <w:r>
        <w:t xml:space="preserve"> </w:t>
      </w:r>
      <w:r w:rsidRPr="00673A95">
        <w:t>Die Fehlschreibungen werden mit den Richtigschreibungen abgeglichen und nach Fehlertyp</w:t>
      </w:r>
      <w:r>
        <w:t xml:space="preserve">en </w:t>
      </w:r>
      <w:r w:rsidRPr="00673A95">
        <w:t xml:space="preserve">systematisiert. </w:t>
      </w:r>
      <w:r w:rsidRPr="00673A95">
        <w:lastRenderedPageBreak/>
        <w:t>Anschließend wird der eigene Fehlerschwerpunkt festgestellt. Dabei sollten die</w:t>
      </w:r>
      <w:r>
        <w:t xml:space="preserve"> </w:t>
      </w:r>
      <w:r w:rsidRPr="00673A95">
        <w:t>Fehler als Chance begriffen werden, Neues zu lernen.</w:t>
      </w:r>
    </w:p>
    <w:p w:rsidR="001E23D9" w:rsidRDefault="001E23D9" w:rsidP="001E23D9">
      <w:pPr>
        <w:pStyle w:val="IQB-Standard"/>
      </w:pPr>
      <w:r w:rsidRPr="00673A95">
        <w:t>Die Schülerinnen und Schüler können eine Rechtschreibkartei (</w:t>
      </w:r>
      <w:r>
        <w:t>z. B.</w:t>
      </w:r>
      <w:r w:rsidRPr="00673A95">
        <w:t xml:space="preserve"> in einem Ringordner)</w:t>
      </w:r>
      <w:r>
        <w:t xml:space="preserve"> </w:t>
      </w:r>
      <w:r w:rsidRPr="00673A95">
        <w:t xml:space="preserve">anlegen, in </w:t>
      </w:r>
      <w:r>
        <w:t>der</w:t>
      </w:r>
      <w:r w:rsidRPr="00673A95">
        <w:t xml:space="preserve"> sie ihre Fehlerschwerpunkte festhalten sowie selbst formulierte Regeln notieren,</w:t>
      </w:r>
      <w:r>
        <w:t xml:space="preserve"> </w:t>
      </w:r>
      <w:r w:rsidRPr="00673A95">
        <w:t>die jeweils an diesen Fehlerschwerpunkten greifen. Ausnahmeschreibungen und Merkwörter</w:t>
      </w:r>
      <w:r>
        <w:t xml:space="preserve"> </w:t>
      </w:r>
      <w:r w:rsidRPr="00673A95">
        <w:t xml:space="preserve">sollten in einem gesonderten Teil gesammelt werden. </w:t>
      </w:r>
    </w:p>
    <w:p w:rsidR="001E23D9" w:rsidRPr="00673A95" w:rsidRDefault="001E23D9" w:rsidP="001E23D9">
      <w:pPr>
        <w:pStyle w:val="IQB-Standard"/>
      </w:pPr>
      <w:r>
        <w:t xml:space="preserve">Sollen bspw. </w:t>
      </w:r>
      <w:r w:rsidRPr="00673A95">
        <w:t>&lt;</w:t>
      </w:r>
      <w:proofErr w:type="spellStart"/>
      <w:r w:rsidRPr="00673A95">
        <w:t>ss</w:t>
      </w:r>
      <w:proofErr w:type="spellEnd"/>
      <w:r w:rsidRPr="00673A95">
        <w:t>&gt;/&lt;ß&gt;/&lt;s&gt;-Schreibung</w:t>
      </w:r>
      <w:r>
        <w:t xml:space="preserve">en thematisiert werden, so bietet sich das Vorgehen mit einer Rechtschreibkartei insbesondere deswegen an, da dieser Bereich eindeutig geregelt ist und </w:t>
      </w:r>
      <w:r w:rsidRPr="00673A95">
        <w:t xml:space="preserve">die Schülerinnen und Schüler </w:t>
      </w:r>
      <w:r>
        <w:t xml:space="preserve">sich </w:t>
      </w:r>
      <w:r w:rsidRPr="00673A95">
        <w:t xml:space="preserve">gut induktiv die Regeln, die der Verwendung der genannten Buchstaben zugrunde </w:t>
      </w:r>
      <w:r>
        <w:t>liegen, erschließen können</w:t>
      </w:r>
      <w:r w:rsidRPr="00673A95">
        <w:t xml:space="preserve">. </w:t>
      </w:r>
      <w:r>
        <w:t>Dazu</w:t>
      </w:r>
      <w:r w:rsidRPr="00673A95">
        <w:t xml:space="preserve"> können </w:t>
      </w:r>
      <w:r>
        <w:t>sie z</w:t>
      </w:r>
      <w:r w:rsidRPr="00673A95">
        <w:t>unächst Wörter sammeln, in denen diese Buchstaben vorkommen und in denen sie die Vokale je nach Länge unterschiedlich farblich markieren. Auch Diphthonge werden markiert. Die Wortsammlungen werden dann in Tabellen übertragen, sodass Schreibungen mit &lt;s&gt;, &lt;ß&gt; und &lt;</w:t>
      </w:r>
      <w:proofErr w:type="spellStart"/>
      <w:r w:rsidRPr="00673A95">
        <w:t>ss</w:t>
      </w:r>
      <w:proofErr w:type="spellEnd"/>
      <w:r w:rsidRPr="00673A95">
        <w:t>&gt; jeweils in einer Tabellenspalte untereinanderstehen. Auch die farbliche Markierung der Vokale wird in die Tabelle übernommen. Dadurch wird ersichtlich, dass der Verwendung von &lt;s&gt;, &lt;ß&gt; und &lt;</w:t>
      </w:r>
      <w:proofErr w:type="spellStart"/>
      <w:r w:rsidRPr="00673A95">
        <w:t>ss</w:t>
      </w:r>
      <w:proofErr w:type="spellEnd"/>
      <w:r w:rsidRPr="00673A95">
        <w:t>&gt; eine Systematik zugrunde liegt, die dann (ggf. auch gemeinsam, in Partner- oder Gruppenarbeit) in einer eigenen Regel beschrieben werden kann.</w:t>
      </w:r>
    </w:p>
    <w:p w:rsidR="001E23D9" w:rsidRDefault="001E23D9" w:rsidP="001E23D9">
      <w:pPr>
        <w:pStyle w:val="IQB-Standard"/>
      </w:pPr>
    </w:p>
    <w:p w:rsidR="001E23D9" w:rsidRPr="00673A95" w:rsidRDefault="001E23D9" w:rsidP="001E23D9">
      <w:pPr>
        <w:pStyle w:val="IQB-Standard"/>
      </w:pPr>
      <w:r w:rsidRPr="00673A95">
        <w:t>Zusätzlich können die Schülerinnen und Schüler Checklisten mit ihren eigenen Fehlerschwerpunkten anlegen, die sie bei der weiteren Produktion eigener Texte nutzen, um ihre Schreibungen zu kontrollieren.</w:t>
      </w:r>
    </w:p>
    <w:p w:rsidR="001E23D9" w:rsidRPr="00FC5A55" w:rsidRDefault="001E23D9" w:rsidP="001E23D9">
      <w:pPr>
        <w:pStyle w:val="IQB-Standard"/>
      </w:pPr>
      <w:r w:rsidRPr="00673A95">
        <w:t>In Selbsteinschätzungs- und Selbstbeobachtungsbögen können die eigenen Lernerfolge dokumentiert werden. Diese können dazu dienen, transparente Vereinbarungen zu treffen, was als Nächstes geübt wird.</w:t>
      </w:r>
    </w:p>
    <w:p w:rsidR="009D3748" w:rsidRPr="009D3748" w:rsidRDefault="009D3748" w:rsidP="001E23D9">
      <w:pPr>
        <w:rPr>
          <w:rFonts w:ascii="Arial" w:hAnsi="Arial" w:cs="Arial"/>
          <w:sz w:val="24"/>
        </w:rPr>
      </w:pPr>
    </w:p>
    <w:sectPr w:rsidR="009D3748" w:rsidRPr="009D3748" w:rsidSect="000D4DB3">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3748" w:rsidRDefault="009D3748" w:rsidP="009D3748">
      <w:pPr>
        <w:spacing w:after="0" w:line="240" w:lineRule="auto"/>
      </w:pPr>
      <w:r>
        <w:separator/>
      </w:r>
    </w:p>
  </w:endnote>
  <w:endnote w:type="continuationSeparator" w:id="0">
    <w:p w:rsidR="009D3748" w:rsidRDefault="009D3748" w:rsidP="009D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690E70EC-975B-4F27-A049-AB047426ABB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embedRegular r:id="rId2" w:fontKey="{1A86BF90-95E3-47A1-A8C9-0F1AC03CD5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748" w:rsidRDefault="009D37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372194"/>
      <w:docPartObj>
        <w:docPartGallery w:val="Page Numbers (Bottom of Page)"/>
        <w:docPartUnique/>
      </w:docPartObj>
    </w:sdtPr>
    <w:sdtContent>
      <w:p w:rsidR="0059244E" w:rsidRDefault="0059244E">
        <w:pPr>
          <w:pStyle w:val="Fuzeile"/>
          <w:jc w:val="center"/>
        </w:pPr>
        <w:r>
          <w:fldChar w:fldCharType="begin"/>
        </w:r>
        <w:r>
          <w:instrText>PAGE   \* MERGEFORMAT</w:instrText>
        </w:r>
        <w:r>
          <w:fldChar w:fldCharType="separate"/>
        </w:r>
        <w:r>
          <w:t>2</w:t>
        </w:r>
        <w:r>
          <w:fldChar w:fldCharType="end"/>
        </w:r>
      </w:p>
    </w:sdtContent>
  </w:sdt>
  <w:p w:rsidR="009D3748" w:rsidRDefault="009D374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053806"/>
      <w:docPartObj>
        <w:docPartGallery w:val="Page Numbers (Bottom of Page)"/>
        <w:docPartUnique/>
      </w:docPartObj>
    </w:sdtPr>
    <w:sdtContent>
      <w:p w:rsidR="0059244E" w:rsidRDefault="0059244E">
        <w:pPr>
          <w:pStyle w:val="Fuzeile"/>
          <w:jc w:val="center"/>
        </w:pPr>
        <w:r>
          <w:fldChar w:fldCharType="begin"/>
        </w:r>
        <w:r>
          <w:instrText>PAGE   \* MERGEFORMAT</w:instrText>
        </w:r>
        <w:r>
          <w:fldChar w:fldCharType="separate"/>
        </w:r>
        <w:r>
          <w:t>2</w:t>
        </w:r>
        <w:r>
          <w:fldChar w:fldCharType="end"/>
        </w:r>
      </w:p>
    </w:sdtContent>
  </w:sdt>
  <w:p w:rsidR="009D3748" w:rsidRDefault="009D37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3748" w:rsidRDefault="009D3748" w:rsidP="009D3748">
      <w:pPr>
        <w:spacing w:after="0" w:line="240" w:lineRule="auto"/>
      </w:pPr>
      <w:r>
        <w:separator/>
      </w:r>
    </w:p>
  </w:footnote>
  <w:footnote w:type="continuationSeparator" w:id="0">
    <w:p w:rsidR="009D3748" w:rsidRDefault="009D3748" w:rsidP="009D3748">
      <w:pPr>
        <w:spacing w:after="0" w:line="240" w:lineRule="auto"/>
      </w:pPr>
      <w:r>
        <w:continuationSeparator/>
      </w:r>
    </w:p>
  </w:footnote>
  <w:footnote w:id="1">
    <w:p w:rsidR="00DE19B2" w:rsidRDefault="00DE19B2" w:rsidP="00C21C17">
      <w:pPr>
        <w:spacing w:after="0" w:line="240" w:lineRule="auto"/>
        <w:jc w:val="both"/>
      </w:pPr>
      <w:r w:rsidRPr="00C21C17">
        <w:rPr>
          <w:rStyle w:val="Funotenzeichen"/>
          <w:sz w:val="16"/>
          <w:szCs w:val="16"/>
        </w:rPr>
        <w:footnoteRef/>
      </w:r>
      <w:r w:rsidRPr="00C21C17">
        <w:rPr>
          <w:sz w:val="16"/>
          <w:szCs w:val="16"/>
        </w:rPr>
        <w:t xml:space="preserve"> </w:t>
      </w:r>
      <w:r w:rsidRPr="00DE19B2">
        <w:rPr>
          <w:rFonts w:ascii="Arial" w:hAnsi="Arial" w:cs="Arial"/>
          <w:sz w:val="16"/>
          <w:szCs w:val="16"/>
        </w:rPr>
        <w:t>Bildungsstandards für das Fach Deutsch. Mittlerer Schulabschluss (MSA) Beschluss der Kultusministerkonferenz vom 04.12.2003, verfügbar unter: https://www.kmk.org/fileadmin/Dateien/veroeffentlichungen_beschluesse/2003/2003_12_04-BS-Deutsch-MS.pdf (Abgerufen am 30.1.2025) und Hauptschulabschluss (HSA): Beschluss der Kultusministerkonferenz vom 15.10.2004, verfügbar unter: https://www.kmk.org/fileadmin/Dateien/veroeffentlichungen_beschluesse/2004/2004_10_15-Bildungsstandards-Deutsch-Haupt.pdf (Abgerufen am 30.1.2025)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748" w:rsidRDefault="009D374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748" w:rsidRDefault="009D374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748" w:rsidRDefault="000D4DB3">
    <w:pPr>
      <w:pStyle w:val="Kopfzeile"/>
    </w:pPr>
    <w:r>
      <w:rPr>
        <w:noProof/>
      </w:rPr>
      <w:drawing>
        <wp:anchor distT="0" distB="0" distL="114300" distR="114300" simplePos="0" relativeHeight="251659264" behindDoc="0" locked="0" layoutInCell="1" allowOverlap="1" wp14:anchorId="7A88C8CB" wp14:editId="6C8C07E2">
          <wp:simplePos x="0" y="0"/>
          <wp:positionH relativeFrom="page">
            <wp:posOffset>899795</wp:posOffset>
          </wp:positionH>
          <wp:positionV relativeFrom="page">
            <wp:posOffset>180340</wp:posOffset>
          </wp:positionV>
          <wp:extent cx="4104000" cy="270000"/>
          <wp:effectExtent l="0" t="0" r="0" b="0"/>
          <wp:wrapTopAndBottom/>
          <wp:docPr id="1" name="Grafik 1" descr="Beschreibun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Kopf"/>
                  <pic:cNvPicPr>
                    <a:picLocks noChangeAspect="1" noChangeArrowheads="1"/>
                  </pic:cNvPicPr>
                </pic:nvPicPr>
                <pic:blipFill>
                  <a:blip r:embed="rId1">
                    <a:grayscl/>
                    <a:extLst>
                      <a:ext uri="{28A0092B-C50C-407E-A947-70E740481C1C}">
                        <a14:useLocalDpi xmlns:a14="http://schemas.microsoft.com/office/drawing/2010/main" val="0"/>
                      </a:ext>
                    </a:extLst>
                  </a:blip>
                  <a:srcRect l="15749" t="10010" r="793"/>
                  <a:stretch>
                    <a:fillRect/>
                  </a:stretch>
                </pic:blipFill>
                <pic:spPr bwMode="auto">
                  <a:xfrm>
                    <a:off x="0" y="0"/>
                    <a:ext cx="4104000" cy="27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embedTrueTypeFonts/>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748"/>
    <w:rsid w:val="000D4DB3"/>
    <w:rsid w:val="001E23D9"/>
    <w:rsid w:val="00591BCE"/>
    <w:rsid w:val="0059244E"/>
    <w:rsid w:val="008B4007"/>
    <w:rsid w:val="009D3748"/>
    <w:rsid w:val="00A655B2"/>
    <w:rsid w:val="00C21C17"/>
    <w:rsid w:val="00C474C2"/>
    <w:rsid w:val="00D121F1"/>
    <w:rsid w:val="00DE01B6"/>
    <w:rsid w:val="00DE19B2"/>
    <w:rsid w:val="00EC3F46"/>
    <w:rsid w:val="00F107ED"/>
    <w:rsid w:val="00F673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1FFA9549-6A86-496D-AD76-AB4D55F8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D37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D3748"/>
  </w:style>
  <w:style w:type="paragraph" w:styleId="Fuzeile">
    <w:name w:val="footer"/>
    <w:basedOn w:val="Standard"/>
    <w:link w:val="FuzeileZchn"/>
    <w:uiPriority w:val="99"/>
    <w:unhideWhenUsed/>
    <w:rsid w:val="009D37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3748"/>
  </w:style>
  <w:style w:type="paragraph" w:customStyle="1" w:styleId="IQB-Teilaufgabentitel">
    <w:name w:val="IQB-Teilaufgabentitel"/>
    <w:basedOn w:val="IQB-Aufgabensubtitel"/>
    <w:link w:val="IQB-TeilaufgabentitelZchn"/>
    <w:autoRedefine/>
    <w:qFormat/>
    <w:rsid w:val="001E23D9"/>
    <w:pPr>
      <w:spacing w:before="240"/>
    </w:pPr>
    <w:rPr>
      <w:b/>
      <w:bCs/>
    </w:rPr>
  </w:style>
  <w:style w:type="paragraph" w:customStyle="1" w:styleId="IQB-RSNormal">
    <w:name w:val="IQB-RSNormal"/>
    <w:basedOn w:val="IQB-Standard"/>
    <w:link w:val="IQB-RSNormalZchn"/>
    <w:qFormat/>
    <w:rsid w:val="001E23D9"/>
    <w:pPr>
      <w:spacing w:after="60"/>
    </w:pPr>
    <w:rPr>
      <w:sz w:val="18"/>
      <w:szCs w:val="22"/>
    </w:rPr>
  </w:style>
  <w:style w:type="character" w:customStyle="1" w:styleId="IQB-RSNormalZchn">
    <w:name w:val="IQB-RSNormal Zchn"/>
    <w:basedOn w:val="Absatz-Standardschriftart"/>
    <w:link w:val="IQB-RSNormal"/>
    <w:rsid w:val="001E23D9"/>
    <w:rPr>
      <w:rFonts w:ascii="Arial" w:eastAsia="Times New Roman" w:hAnsi="Arial" w:cs="Arial"/>
      <w:sz w:val="18"/>
      <w:lang w:eastAsia="de-DE"/>
    </w:rPr>
  </w:style>
  <w:style w:type="paragraph" w:customStyle="1" w:styleId="IQB-RSCodeValue">
    <w:name w:val="IQB-RSCodeValue"/>
    <w:basedOn w:val="IQB-Standard"/>
    <w:link w:val="IQB-RSCodeValueZchn"/>
    <w:qFormat/>
    <w:rsid w:val="001E23D9"/>
    <w:pPr>
      <w:spacing w:after="60"/>
    </w:pPr>
    <w:rPr>
      <w:sz w:val="18"/>
    </w:rPr>
  </w:style>
  <w:style w:type="character" w:customStyle="1" w:styleId="IQB-RSCodeValueZchn">
    <w:name w:val="IQB-RSCodeValue Zchn"/>
    <w:basedOn w:val="Absatz-Standardschriftart"/>
    <w:link w:val="IQB-RSCodeValue"/>
    <w:rsid w:val="001E23D9"/>
    <w:rPr>
      <w:rFonts w:ascii="Arial" w:eastAsia="Times New Roman" w:hAnsi="Arial" w:cs="Arial"/>
      <w:sz w:val="18"/>
      <w:szCs w:val="24"/>
      <w:lang w:eastAsia="de-DE"/>
    </w:rPr>
  </w:style>
  <w:style w:type="paragraph" w:customStyle="1" w:styleId="IQB-Teilaufgabensubtitel">
    <w:name w:val="IQB-Teilaufgabensubtitel"/>
    <w:basedOn w:val="IQB-Aufgabensubtitel"/>
    <w:link w:val="IQB-TeilaufgabensubtitelZchn"/>
    <w:qFormat/>
    <w:rsid w:val="001E23D9"/>
  </w:style>
  <w:style w:type="character" w:customStyle="1" w:styleId="IQB-TeilaufgabentitelZchn">
    <w:name w:val="IQB-Teilaufgabentitel Zchn"/>
    <w:basedOn w:val="Absatz-Standardschriftart"/>
    <w:link w:val="IQB-Teilaufgabentitel"/>
    <w:rsid w:val="001E23D9"/>
    <w:rPr>
      <w:rFonts w:ascii="Arial" w:eastAsia="Times New Roman" w:hAnsi="Arial" w:cs="Arial"/>
      <w:b/>
      <w:bCs/>
      <w:sz w:val="24"/>
      <w:szCs w:val="24"/>
      <w:lang w:eastAsia="de-DE"/>
    </w:rPr>
  </w:style>
  <w:style w:type="character" w:customStyle="1" w:styleId="IQB-TeilaufgabensubtitelZchn">
    <w:name w:val="IQB-Teilaufgabensubtitel Zchn"/>
    <w:basedOn w:val="IQB-TeilaufgabentitelZchn"/>
    <w:link w:val="IQB-Teilaufgabensubtitel"/>
    <w:rsid w:val="001E23D9"/>
    <w:rPr>
      <w:rFonts w:ascii="Arial" w:eastAsia="Times New Roman" w:hAnsi="Arial" w:cs="Arial"/>
      <w:b w:val="0"/>
      <w:bCs w:val="0"/>
      <w:sz w:val="24"/>
      <w:szCs w:val="24"/>
      <w:lang w:eastAsia="de-DE"/>
    </w:rPr>
  </w:style>
  <w:style w:type="paragraph" w:customStyle="1" w:styleId="IQB-Aufgabensubtitel">
    <w:name w:val="IQB-Aufgabensubtitel"/>
    <w:basedOn w:val="IQB-Standard"/>
    <w:link w:val="IQB-AufgabensubtitelZchn"/>
    <w:qFormat/>
    <w:rsid w:val="001E23D9"/>
    <w:pPr>
      <w:keepNext/>
      <w:spacing w:before="120"/>
    </w:pPr>
  </w:style>
  <w:style w:type="paragraph" w:customStyle="1" w:styleId="IQB-Merkmal">
    <w:name w:val="IQB-Merkmal"/>
    <w:basedOn w:val="IQB-Standard"/>
    <w:link w:val="IQB-MerkmalZchn"/>
    <w:qFormat/>
    <w:rsid w:val="001E23D9"/>
    <w:pPr>
      <w:spacing w:after="60"/>
    </w:pPr>
    <w:rPr>
      <w:sz w:val="18"/>
    </w:rPr>
  </w:style>
  <w:style w:type="character" w:customStyle="1" w:styleId="IQB-AufgabensubtitelZchn">
    <w:name w:val="IQB-Aufgabensubtitel Zchn"/>
    <w:basedOn w:val="IQB-TeilaufgabentitelZchn"/>
    <w:link w:val="IQB-Aufgabensubtitel"/>
    <w:rsid w:val="001E23D9"/>
    <w:rPr>
      <w:rFonts w:ascii="Arial" w:eastAsia="Times New Roman" w:hAnsi="Arial" w:cs="Arial"/>
      <w:b w:val="0"/>
      <w:bCs w:val="0"/>
      <w:sz w:val="24"/>
      <w:szCs w:val="24"/>
      <w:lang w:eastAsia="de-DE"/>
    </w:rPr>
  </w:style>
  <w:style w:type="paragraph" w:customStyle="1" w:styleId="IQB-Merkmalswert">
    <w:name w:val="IQB-Merkmalswert"/>
    <w:basedOn w:val="IQB-Standard"/>
    <w:link w:val="IQB-MerkmalswertZchn"/>
    <w:qFormat/>
    <w:rsid w:val="001E23D9"/>
    <w:pPr>
      <w:spacing w:after="60"/>
    </w:pPr>
    <w:rPr>
      <w:sz w:val="18"/>
    </w:rPr>
  </w:style>
  <w:style w:type="character" w:customStyle="1" w:styleId="IQB-MerkmalZchn">
    <w:name w:val="IQB-Merkmal Zchn"/>
    <w:basedOn w:val="IQB-TeilaufgabentitelZchn"/>
    <w:link w:val="IQB-Merkmal"/>
    <w:rsid w:val="001E23D9"/>
    <w:rPr>
      <w:rFonts w:ascii="Arial" w:eastAsia="Times New Roman" w:hAnsi="Arial" w:cs="Arial"/>
      <w:b w:val="0"/>
      <w:bCs w:val="0"/>
      <w:sz w:val="18"/>
      <w:szCs w:val="24"/>
      <w:lang w:eastAsia="de-DE"/>
    </w:rPr>
  </w:style>
  <w:style w:type="character" w:customStyle="1" w:styleId="IQB-MerkmalswertZchn">
    <w:name w:val="IQB-Merkmalswert Zchn"/>
    <w:basedOn w:val="IQB-MerkmalZchn"/>
    <w:link w:val="IQB-Merkmalswert"/>
    <w:rsid w:val="001E23D9"/>
    <w:rPr>
      <w:rFonts w:ascii="Arial" w:eastAsia="Times New Roman" w:hAnsi="Arial" w:cs="Arial"/>
      <w:b w:val="0"/>
      <w:bCs w:val="0"/>
      <w:sz w:val="18"/>
      <w:szCs w:val="24"/>
      <w:lang w:eastAsia="de-DE"/>
    </w:rPr>
  </w:style>
  <w:style w:type="paragraph" w:customStyle="1" w:styleId="IQB-Aufgabengrafik">
    <w:name w:val="IQB-Aufgabengrafik"/>
    <w:basedOn w:val="IQB-Standard"/>
    <w:link w:val="IQB-AufgabengrafikZchn"/>
    <w:qFormat/>
    <w:rsid w:val="001E23D9"/>
    <w:pPr>
      <w:widowControl w:val="0"/>
      <w:spacing w:before="120"/>
    </w:pPr>
  </w:style>
  <w:style w:type="character" w:customStyle="1" w:styleId="IQB-AufgabengrafikZchn">
    <w:name w:val="IQB-Aufgabengrafik Zchn"/>
    <w:basedOn w:val="Absatz-Standardschriftart"/>
    <w:link w:val="IQB-Aufgabengrafik"/>
    <w:rsid w:val="001E23D9"/>
    <w:rPr>
      <w:rFonts w:ascii="Arial" w:eastAsia="Times New Roman" w:hAnsi="Arial" w:cs="Arial"/>
      <w:sz w:val="24"/>
      <w:szCs w:val="24"/>
      <w:lang w:eastAsia="de-DE"/>
    </w:rPr>
  </w:style>
  <w:style w:type="paragraph" w:customStyle="1" w:styleId="IQB-Standard">
    <w:name w:val="#IQB-Standard"/>
    <w:basedOn w:val="Standard"/>
    <w:link w:val="IQB-StandardZchn"/>
    <w:autoRedefine/>
    <w:qFormat/>
    <w:rsid w:val="001E23D9"/>
    <w:pPr>
      <w:spacing w:before="60" w:after="120" w:line="240" w:lineRule="auto"/>
      <w:jc w:val="both"/>
    </w:pPr>
    <w:rPr>
      <w:rFonts w:ascii="Arial" w:eastAsia="Times New Roman" w:hAnsi="Arial" w:cs="Arial"/>
      <w:sz w:val="24"/>
      <w:szCs w:val="24"/>
      <w:lang w:eastAsia="de-DE"/>
    </w:rPr>
  </w:style>
  <w:style w:type="character" w:customStyle="1" w:styleId="IQB-StandardZchn">
    <w:name w:val="#IQB-Standard Zchn"/>
    <w:basedOn w:val="Absatz-Standardschriftart"/>
    <w:link w:val="IQB-Standard"/>
    <w:rsid w:val="001E23D9"/>
    <w:rPr>
      <w:rFonts w:ascii="Arial" w:eastAsia="Times New Roman" w:hAnsi="Arial" w:cs="Arial"/>
      <w:sz w:val="24"/>
      <w:szCs w:val="24"/>
      <w:lang w:eastAsia="de-DE"/>
    </w:rPr>
  </w:style>
  <w:style w:type="paragraph" w:styleId="Funotentext">
    <w:name w:val="footnote text"/>
    <w:basedOn w:val="Standard"/>
    <w:link w:val="FunotentextZchn"/>
    <w:uiPriority w:val="99"/>
    <w:semiHidden/>
    <w:unhideWhenUsed/>
    <w:rsid w:val="00DE19B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E19B2"/>
    <w:rPr>
      <w:sz w:val="20"/>
      <w:szCs w:val="20"/>
    </w:rPr>
  </w:style>
  <w:style w:type="character" w:styleId="Funotenzeichen">
    <w:name w:val="footnote reference"/>
    <w:basedOn w:val="Absatz-Standardschriftart"/>
    <w:uiPriority w:val="99"/>
    <w:semiHidden/>
    <w:unhideWhenUsed/>
    <w:rsid w:val="00DE19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1270</Words>
  <Characters>8270</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Lohmeyer</dc:creator>
  <cp:keywords/>
  <dc:description/>
  <cp:lastModifiedBy>Matthias Stöhr</cp:lastModifiedBy>
  <cp:revision>12</cp:revision>
  <dcterms:created xsi:type="dcterms:W3CDTF">2025-01-21T13:48:00Z</dcterms:created>
  <dcterms:modified xsi:type="dcterms:W3CDTF">2025-06-20T14:54:00Z</dcterms:modified>
</cp:coreProperties>
</file>