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3DF0" w:rsidRDefault="00143DF0" w:rsidP="00143DF0">
      <w:pPr>
        <w:pStyle w:val="berschrift2"/>
        <w:rPr>
          <w:b w:val="0"/>
          <w:sz w:val="28"/>
        </w:rPr>
      </w:pPr>
      <w:r w:rsidRPr="00143DF0">
        <w:rPr>
          <w:b w:val="0"/>
          <w:sz w:val="28"/>
        </w:rPr>
        <w:t xml:space="preserve">Didaktische Handreichung: Aufgabe </w:t>
      </w:r>
      <w:r w:rsidR="00984063">
        <w:rPr>
          <w:b w:val="0"/>
          <w:sz w:val="28"/>
        </w:rPr>
        <w:t>Fantasiewörter</w:t>
      </w:r>
    </w:p>
    <w:p w:rsidR="00984063" w:rsidRDefault="00984063" w:rsidP="00984063">
      <w:pPr>
        <w:pStyle w:val="IQB-Aufgabensubtitel"/>
      </w:pPr>
      <w:r>
        <w:t>Aufgabenmerkmale</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2068"/>
        <w:gridCol w:w="6992"/>
      </w:tblGrid>
      <w:tr w:rsidR="00984063" w:rsidTr="00CA4E63">
        <w:tc>
          <w:tcPr>
            <w:tcW w:w="2068" w:type="dxa"/>
            <w:tcBorders>
              <w:top w:val="single" w:sz="4" w:space="0" w:color="auto"/>
              <w:left w:val="single" w:sz="4" w:space="0" w:color="auto"/>
              <w:bottom w:val="single" w:sz="1" w:space="0" w:color="auto"/>
              <w:right w:val="single" w:sz="1" w:space="0" w:color="auto"/>
            </w:tcBorders>
            <w:vAlign w:val="center"/>
          </w:tcPr>
          <w:p w:rsidR="00984063" w:rsidRDefault="00984063" w:rsidP="00CA4E63">
            <w:pPr>
              <w:pStyle w:val="IQB-Merkmal"/>
            </w:pPr>
            <w:r>
              <w:t>Thema</w:t>
            </w:r>
          </w:p>
        </w:tc>
        <w:tc>
          <w:tcPr>
            <w:tcW w:w="7086" w:type="dxa"/>
            <w:tcBorders>
              <w:top w:val="single" w:sz="4" w:space="0" w:color="auto"/>
              <w:left w:val="single" w:sz="1" w:space="0" w:color="auto"/>
              <w:bottom w:val="single" w:sz="1" w:space="0" w:color="auto"/>
              <w:right w:val="single" w:sz="4" w:space="0" w:color="auto"/>
            </w:tcBorders>
          </w:tcPr>
          <w:p w:rsidR="00984063" w:rsidRDefault="00984063" w:rsidP="00CA4E63">
            <w:pPr>
              <w:pStyle w:val="IQB-Merkmalswert"/>
            </w:pPr>
            <w:r>
              <w:t>Erkennen, Zuordnen und Flektieren von Wortarten auf Grundlage spezifischer morphologischer und syntaktischer Eigenschaften am Beispiel von Kurztexten / isoliertem Wortmaterial und</w:t>
            </w:r>
            <w:r>
              <w:br/>
              <w:t xml:space="preserve">Erkennen typischer </w:t>
            </w:r>
            <w:proofErr w:type="spellStart"/>
            <w:r>
              <w:t>Graphemverbindungen</w:t>
            </w:r>
            <w:proofErr w:type="spellEnd"/>
            <w:r>
              <w:t xml:space="preserve"> des Deutschen</w:t>
            </w:r>
          </w:p>
        </w:tc>
      </w:tr>
      <w:tr w:rsidR="00984063" w:rsidTr="00CA4E63">
        <w:tc>
          <w:tcPr>
            <w:tcW w:w="2068" w:type="dxa"/>
            <w:tcBorders>
              <w:top w:val="single" w:sz="1" w:space="0" w:color="auto"/>
              <w:left w:val="single" w:sz="4" w:space="0" w:color="auto"/>
              <w:bottom w:val="single" w:sz="1" w:space="0" w:color="auto"/>
              <w:right w:val="single" w:sz="1" w:space="0" w:color="auto"/>
            </w:tcBorders>
            <w:vAlign w:val="center"/>
          </w:tcPr>
          <w:p w:rsidR="00984063" w:rsidRDefault="00984063" w:rsidP="00CA4E63">
            <w:pPr>
              <w:pStyle w:val="IQB-Merkmal"/>
            </w:pPr>
            <w:r>
              <w:t>Textsorte</w:t>
            </w:r>
          </w:p>
        </w:tc>
        <w:tc>
          <w:tcPr>
            <w:tcW w:w="7086" w:type="dxa"/>
            <w:tcBorders>
              <w:top w:val="single" w:sz="1" w:space="0" w:color="auto"/>
              <w:left w:val="single" w:sz="1" w:space="0" w:color="auto"/>
              <w:bottom w:val="single" w:sz="1" w:space="0" w:color="auto"/>
              <w:right w:val="single" w:sz="4" w:space="0" w:color="auto"/>
            </w:tcBorders>
          </w:tcPr>
          <w:p w:rsidR="00984063" w:rsidRDefault="00984063" w:rsidP="00CA4E63">
            <w:pPr>
              <w:pStyle w:val="IQB-Merkmalswert"/>
            </w:pPr>
            <w:r>
              <w:t>Kurztexte und isoliertes Wortmaterial</w:t>
            </w:r>
          </w:p>
        </w:tc>
      </w:tr>
      <w:tr w:rsidR="00984063" w:rsidTr="00CA4E63">
        <w:tc>
          <w:tcPr>
            <w:tcW w:w="2068" w:type="dxa"/>
            <w:tcBorders>
              <w:top w:val="single" w:sz="1" w:space="0" w:color="auto"/>
              <w:left w:val="single" w:sz="4" w:space="0" w:color="auto"/>
              <w:bottom w:val="single" w:sz="1" w:space="0" w:color="auto"/>
              <w:right w:val="single" w:sz="1" w:space="0" w:color="auto"/>
            </w:tcBorders>
            <w:vAlign w:val="center"/>
          </w:tcPr>
          <w:p w:rsidR="00984063" w:rsidRDefault="00984063" w:rsidP="00CA4E63">
            <w:pPr>
              <w:pStyle w:val="IQB-Merkmal"/>
            </w:pPr>
            <w:r>
              <w:t>Aufgabenbeschreibung</w:t>
            </w:r>
          </w:p>
        </w:tc>
        <w:tc>
          <w:tcPr>
            <w:tcW w:w="7086" w:type="dxa"/>
            <w:tcBorders>
              <w:top w:val="single" w:sz="1" w:space="0" w:color="auto"/>
              <w:left w:val="single" w:sz="1" w:space="0" w:color="auto"/>
              <w:bottom w:val="single" w:sz="1" w:space="0" w:color="auto"/>
              <w:right w:val="single" w:sz="4" w:space="0" w:color="auto"/>
            </w:tcBorders>
          </w:tcPr>
          <w:p w:rsidR="00984063" w:rsidRDefault="00984063" w:rsidP="00CA4E63">
            <w:pPr>
              <w:pStyle w:val="IQB-Merkmalswert"/>
            </w:pPr>
            <w:r>
              <w:t>Bei den vorliegenden Aufgabenstämmen handelt es sich um (syntaktisch einfache) Kurztexte, die vollständig (3.1 und 3.2) oder teilweise (3.3 und 3.4) aus Fantasiewörtern bestehen. Die jeweiligen Fantasiewörter sind dabei in ihrer morphologischen Struktur und Syntax am deutschen Sprachsystem orientiert. Auch wird die syntaktisch basierte Groß- und Kleinschreibung des deutschen Sprachsystems berücksichtigt.</w:t>
            </w:r>
          </w:p>
          <w:p w:rsidR="00984063" w:rsidRDefault="00984063" w:rsidP="00CA4E63">
            <w:pPr>
              <w:pStyle w:val="IQB-Merkmalswert"/>
            </w:pPr>
            <w:r>
              <w:t>Die Schülerinnen und Schüler sollen die (möglichen) Wortarten ausgewählter Fantasiewörter anhand morphologischer und syntaktischer Merkmale bestimmen.</w:t>
            </w:r>
          </w:p>
          <w:p w:rsidR="00984063" w:rsidRDefault="00984063" w:rsidP="00CA4E63">
            <w:pPr>
              <w:pStyle w:val="IQB-Merkmalswert"/>
            </w:pPr>
            <w:r>
              <w:t xml:space="preserve">In Teilaufgabe 3.5 hingegen liegt isoliertes Wortmaterial, ebenfalls bestehend aus Fantasiewörtern, vor, </w:t>
            </w:r>
            <w:proofErr w:type="gramStart"/>
            <w:r>
              <w:t>das</w:t>
            </w:r>
            <w:proofErr w:type="gramEnd"/>
            <w:r>
              <w:t xml:space="preserve"> von den Schülerinnen und Schülern unter Berücksichtigung des Systems der deutschen Verbflexion konjugiert werden soll. </w:t>
            </w:r>
          </w:p>
        </w:tc>
      </w:tr>
      <w:tr w:rsidR="00984063" w:rsidTr="00CA4E63">
        <w:tc>
          <w:tcPr>
            <w:tcW w:w="2068" w:type="dxa"/>
            <w:tcBorders>
              <w:top w:val="single" w:sz="1" w:space="0" w:color="auto"/>
              <w:left w:val="single" w:sz="4" w:space="0" w:color="auto"/>
              <w:bottom w:val="single" w:sz="1" w:space="0" w:color="auto"/>
              <w:right w:val="single" w:sz="1" w:space="0" w:color="auto"/>
            </w:tcBorders>
            <w:vAlign w:val="center"/>
          </w:tcPr>
          <w:p w:rsidR="00984063" w:rsidRDefault="00984063" w:rsidP="00CA4E63">
            <w:pPr>
              <w:pStyle w:val="IQB-Merkmal"/>
            </w:pPr>
            <w:r>
              <w:t>Fokus</w:t>
            </w:r>
          </w:p>
        </w:tc>
        <w:tc>
          <w:tcPr>
            <w:tcW w:w="7086" w:type="dxa"/>
            <w:tcBorders>
              <w:top w:val="single" w:sz="1" w:space="0" w:color="auto"/>
              <w:left w:val="single" w:sz="1" w:space="0" w:color="auto"/>
              <w:bottom w:val="single" w:sz="1" w:space="0" w:color="auto"/>
              <w:right w:val="single" w:sz="4" w:space="0" w:color="auto"/>
            </w:tcBorders>
          </w:tcPr>
          <w:p w:rsidR="00984063" w:rsidRDefault="00984063" w:rsidP="00CA4E63">
            <w:pPr>
              <w:pStyle w:val="IQB-Merkmalswert"/>
            </w:pPr>
            <w:r>
              <w:t xml:space="preserve">HSA: Wortarten kennen und funktional gebrauchen: z.B. Verb: Zeitlichkeit; Substantiv/Nomen: Benennung; Adjektiv: Qualität // MSA: Wortarten kennen und funktional gebrauchen: z.B. Verb: Zeitlichkeit, Modalität; Substantiv/Nomen: Benennung; Adjektiv: Qualität (4.3.2); </w:t>
            </w:r>
          </w:p>
          <w:p w:rsidR="00984063" w:rsidRDefault="00984063" w:rsidP="00CA4E63">
            <w:pPr>
              <w:pStyle w:val="IQB-Merkmalswert"/>
            </w:pPr>
            <w:r w:rsidRPr="002A0AF2">
              <w:t>HSA/MSA: Satzstrukturen kennen und funktional verwenden: Hauptsatz, Nebensatz/ Gliedsatz, Satzglied, Satzgliedteil (4.3.1)</w:t>
            </w:r>
            <w:r w:rsidR="00917315">
              <w:rPr>
                <w:rStyle w:val="Funotenzeichen"/>
              </w:rPr>
              <w:footnoteReference w:id="1"/>
            </w:r>
          </w:p>
        </w:tc>
      </w:tr>
    </w:tbl>
    <w:p w:rsidR="00984063" w:rsidRDefault="00984063" w:rsidP="00984063">
      <w:pPr>
        <w:pStyle w:val="IQB-Teilaufgabentitel"/>
      </w:pPr>
    </w:p>
    <w:p w:rsidR="00984063" w:rsidRDefault="00984063" w:rsidP="00984063">
      <w:pPr>
        <w:pStyle w:val="IQB-Teilaufgabensubtitel"/>
      </w:pPr>
      <w:r>
        <w:t>Merkmale Teilaufgabe 1</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84"/>
        <w:gridCol w:w="7076"/>
      </w:tblGrid>
      <w:tr w:rsidR="00984063" w:rsidTr="00CA4E63">
        <w:tc>
          <w:tcPr>
            <w:tcW w:w="1984" w:type="dxa"/>
            <w:vAlign w:val="center"/>
          </w:tcPr>
          <w:p w:rsidR="00984063" w:rsidRDefault="00984063" w:rsidP="00CA4E63">
            <w:pPr>
              <w:pStyle w:val="IQB-Merkmal"/>
            </w:pPr>
            <w:r>
              <w:t>Bildungsstandard</w:t>
            </w:r>
          </w:p>
        </w:tc>
        <w:tc>
          <w:tcPr>
            <w:tcW w:w="7086" w:type="dxa"/>
          </w:tcPr>
          <w:p w:rsidR="00984063" w:rsidRDefault="00984063" w:rsidP="00CA4E63">
            <w:pPr>
              <w:pStyle w:val="IQB-Merkmalswert"/>
            </w:pPr>
            <w:r>
              <w:t>HSA: Wortarten kennen und funktional gebrauchen: z.B. Verb: Zeitlichkeit; Substantiv/Nomen: Benennung; Adjektiv: Qualität // MSA: Wortarten kennen und funktional gebrauchen: z.B. Verb: Zeitlichkeit, Modalität; Substantiv/Nomen: Benennung; Adjektiv: Qualität (4.3.2)</w:t>
            </w:r>
          </w:p>
        </w:tc>
      </w:tr>
      <w:tr w:rsidR="00984063" w:rsidTr="00CA4E63">
        <w:tc>
          <w:tcPr>
            <w:tcW w:w="1984" w:type="dxa"/>
            <w:vAlign w:val="center"/>
          </w:tcPr>
          <w:p w:rsidR="00984063" w:rsidRDefault="00984063" w:rsidP="00CA4E63">
            <w:pPr>
              <w:pStyle w:val="IQB-Merkmal"/>
            </w:pPr>
            <w:r>
              <w:t>Kompetenzstufe</w:t>
            </w:r>
          </w:p>
        </w:tc>
        <w:tc>
          <w:tcPr>
            <w:tcW w:w="7086" w:type="dxa"/>
          </w:tcPr>
          <w:p w:rsidR="00984063" w:rsidRDefault="00984063" w:rsidP="00CA4E63">
            <w:pPr>
              <w:pStyle w:val="IQB-Merkmalswert"/>
            </w:pPr>
            <w:r>
              <w:t>a) III, b) V, c) IV</w:t>
            </w:r>
          </w:p>
        </w:tc>
      </w:tr>
      <w:tr w:rsidR="00984063" w:rsidTr="00CA4E63">
        <w:tc>
          <w:tcPr>
            <w:tcW w:w="1984" w:type="dxa"/>
            <w:vAlign w:val="center"/>
          </w:tcPr>
          <w:p w:rsidR="00984063" w:rsidRDefault="00984063" w:rsidP="00CA4E63">
            <w:pPr>
              <w:pStyle w:val="IQB-Merkmal"/>
            </w:pPr>
            <w:r>
              <w:t>Anforderungsbereich</w:t>
            </w:r>
          </w:p>
        </w:tc>
        <w:tc>
          <w:tcPr>
            <w:tcW w:w="7086" w:type="dxa"/>
          </w:tcPr>
          <w:p w:rsidR="00984063" w:rsidRDefault="00984063" w:rsidP="00CA4E63">
            <w:pPr>
              <w:pStyle w:val="IQB-Merkmalswert"/>
            </w:pPr>
            <w:r>
              <w:t>III</w:t>
            </w:r>
          </w:p>
        </w:tc>
      </w:tr>
    </w:tbl>
    <w:p w:rsidR="00984063" w:rsidRPr="0053290E" w:rsidRDefault="00984063" w:rsidP="00984063">
      <w:pPr>
        <w:pStyle w:val="IQB-Teilaufgabentitel"/>
        <w:spacing w:before="240"/>
      </w:pPr>
      <w:r w:rsidRPr="0053290E">
        <w:t>Aufgabenbezogener Kommentar</w:t>
      </w:r>
    </w:p>
    <w:p w:rsidR="00984063" w:rsidRDefault="00984063" w:rsidP="0001250A">
      <w:pPr>
        <w:jc w:val="both"/>
      </w:pPr>
      <w:r>
        <w:t>Diese Teilaufgabe erfasst die Fähigkeit der Schülerinnen und Schüler, deklaratives Wissen über basale Wortarten anzuwenden. Zur Bearbeitung der Teilaufgabe müssen sie potentielle Wortarten vorgegebener Fantasiewörter (die morphologisch und syntaktisch dem deutschen Sprachsystem folgen) allein auf Grundlage der syntaktischen und morphologischen Eigenschaften der jeweiligen Wörter im Textzusammenhang identifizieren. Durch die Verwendung von Fantasiewörtern müssen sich die Schülerinnen und Schüler bei der Wortartenbestimmung von einer rein semantisch begründeten und kategorialen Zuordnung lösen und allein unter Berücksichtigung der syntaktischen (Position im Satz, Großschreibung) und/oder morphologischen Eigenschaften (Flexionsendung) der Wörter im vorliegenden Satzkontext argumentieren.</w:t>
      </w:r>
    </w:p>
    <w:p w:rsidR="00984063" w:rsidRDefault="00984063" w:rsidP="0001250A">
      <w:pPr>
        <w:jc w:val="both"/>
      </w:pPr>
      <w:r>
        <w:t>Insbesondere bei Teilaufgabe b) genügt es nicht, auf die Kleinschreibung des Wortes „</w:t>
      </w:r>
      <w:proofErr w:type="spellStart"/>
      <w:r w:rsidRPr="00DC237D">
        <w:t>glutzt</w:t>
      </w:r>
      <w:proofErr w:type="spellEnd"/>
      <w:r>
        <w:t xml:space="preserve">“ als Begründung für die Zuordnung zur Klasse der Verben zu verweisen, da (im Deutschen) </w:t>
      </w:r>
      <w:r>
        <w:lastRenderedPageBreak/>
        <w:t xml:space="preserve">abgesehen von Nomen/Substantiven alle Wortarten kleingeschrieben werden, sofern sie nicht in der satzeinleitenden Position stehen, und die Kleinschreibung daher </w:t>
      </w:r>
      <w:r w:rsidRPr="001F7046">
        <w:rPr>
          <w:i/>
        </w:rPr>
        <w:t>kei</w:t>
      </w:r>
      <w:r>
        <w:rPr>
          <w:i/>
        </w:rPr>
        <w:t>ne</w:t>
      </w:r>
      <w:r w:rsidRPr="001F7046">
        <w:rPr>
          <w:i/>
        </w:rPr>
        <w:t>n</w:t>
      </w:r>
      <w:r>
        <w:t xml:space="preserve"> Hinweis auf eine konkrete Wortartenzugehörigkeit gibt. Dies erschwert die Bearbeitung von b) erheblich. Die Bearbeitung von c) wird dadurch erschwert, dass hier – im Gegensatz zu a) – kein bestimmter Artikel, sondern die Verschmelzung „im“ vorangestellt ist. Vermutlich werden Schülerinnen und Schüler bei a) als Begründung oft auch den unmittelbar vorangestellten bestimmten Artikel anführen, doch gerade dieser ist eben kein grundsätzliches Indiz für das Vorhandenseins eines Nomens. Dies wird gerade in Nominalphrasen deutlich (z.</w:t>
      </w:r>
      <w:r w:rsidR="0084154F">
        <w:t> </w:t>
      </w:r>
      <w:r>
        <w:t>B. „Der große Mann geht heute einkaufen.“).</w:t>
      </w:r>
    </w:p>
    <w:p w:rsidR="00984063" w:rsidRDefault="00984063" w:rsidP="00984063">
      <w:pPr>
        <w:pStyle w:val="IQB-Teilaufgabentitel"/>
      </w:pPr>
    </w:p>
    <w:p w:rsidR="00984063" w:rsidRDefault="00984063" w:rsidP="00984063">
      <w:pPr>
        <w:pStyle w:val="IQB-Teilaufgabensubtitel"/>
      </w:pPr>
      <w:r>
        <w:t>Merkmale Teilaufgabe 2</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84"/>
        <w:gridCol w:w="7076"/>
      </w:tblGrid>
      <w:tr w:rsidR="00984063" w:rsidTr="004D55DB">
        <w:tc>
          <w:tcPr>
            <w:tcW w:w="1984" w:type="dxa"/>
            <w:vAlign w:val="center"/>
          </w:tcPr>
          <w:p w:rsidR="00984063" w:rsidRDefault="00984063" w:rsidP="00CA4E63">
            <w:pPr>
              <w:pStyle w:val="IQB-Merkmal"/>
            </w:pPr>
            <w:r>
              <w:t>Bildungsstandard</w:t>
            </w:r>
          </w:p>
        </w:tc>
        <w:tc>
          <w:tcPr>
            <w:tcW w:w="7076" w:type="dxa"/>
          </w:tcPr>
          <w:p w:rsidR="00984063" w:rsidRDefault="00984063" w:rsidP="00CA4E63">
            <w:pPr>
              <w:pStyle w:val="IQB-Merkmalswert"/>
            </w:pPr>
            <w:r w:rsidRPr="002A0AF2">
              <w:t>HSA/MSA: Satzstrukturen kennen und funktional verwenden: Hauptsatz, Nebensatz/ Gliedsatz, Satzglied, Satzgliedteil (4.3.1);</w:t>
            </w:r>
            <w:r>
              <w:t xml:space="preserve"> </w:t>
            </w:r>
          </w:p>
          <w:p w:rsidR="00984063" w:rsidRDefault="00984063" w:rsidP="00CA4E63">
            <w:pPr>
              <w:pStyle w:val="IQB-Merkmalswert"/>
            </w:pPr>
            <w:r>
              <w:t>HSA: Wortarten kennen und funktional gebrauchen: z.B. Verb: Zeitlichkeit; Substantiv/Nomen: Benennung; Adjektiv: Qualität // MSA: Wortarten kennen und funktional gebrauchen: z.B. Verb: Zeitlichkeit, Modalität; Substantiv/Nomen: Benennung; Adjektiv: Qualität (4.3.2)</w:t>
            </w:r>
          </w:p>
        </w:tc>
      </w:tr>
      <w:tr w:rsidR="00984063" w:rsidTr="004D55DB">
        <w:tc>
          <w:tcPr>
            <w:tcW w:w="1984" w:type="dxa"/>
            <w:vAlign w:val="center"/>
          </w:tcPr>
          <w:p w:rsidR="00984063" w:rsidRDefault="00984063" w:rsidP="00CA4E63">
            <w:pPr>
              <w:pStyle w:val="IQB-Merkmal"/>
            </w:pPr>
            <w:r>
              <w:t>Kompetenzstufe</w:t>
            </w:r>
          </w:p>
        </w:tc>
        <w:tc>
          <w:tcPr>
            <w:tcW w:w="7076" w:type="dxa"/>
          </w:tcPr>
          <w:p w:rsidR="00984063" w:rsidRDefault="00984063" w:rsidP="00CA4E63">
            <w:pPr>
              <w:pStyle w:val="IQB-Merkmalswert"/>
            </w:pPr>
            <w:r>
              <w:t>V</w:t>
            </w:r>
          </w:p>
        </w:tc>
      </w:tr>
      <w:tr w:rsidR="00984063" w:rsidTr="004D55DB">
        <w:tc>
          <w:tcPr>
            <w:tcW w:w="1984" w:type="dxa"/>
            <w:vAlign w:val="center"/>
          </w:tcPr>
          <w:p w:rsidR="00984063" w:rsidRDefault="00984063" w:rsidP="00CA4E63">
            <w:pPr>
              <w:pStyle w:val="IQB-Merkmal"/>
            </w:pPr>
            <w:r>
              <w:t>Anforderungsbereich</w:t>
            </w:r>
          </w:p>
        </w:tc>
        <w:tc>
          <w:tcPr>
            <w:tcW w:w="7076" w:type="dxa"/>
          </w:tcPr>
          <w:p w:rsidR="00984063" w:rsidRDefault="00984063" w:rsidP="00CA4E63">
            <w:pPr>
              <w:pStyle w:val="IQB-Merkmalswert"/>
            </w:pPr>
            <w:r>
              <w:t>II</w:t>
            </w:r>
          </w:p>
        </w:tc>
      </w:tr>
    </w:tbl>
    <w:p w:rsidR="00984063" w:rsidRPr="0053290E" w:rsidRDefault="00984063" w:rsidP="00984063">
      <w:pPr>
        <w:pStyle w:val="IQB-Teilaufgabentitel"/>
        <w:spacing w:before="240"/>
      </w:pPr>
      <w:r w:rsidRPr="0053290E">
        <w:t>Aufgabenbezogener Kommentar</w:t>
      </w:r>
    </w:p>
    <w:p w:rsidR="00984063" w:rsidRDefault="00984063" w:rsidP="0001250A">
      <w:pPr>
        <w:jc w:val="both"/>
      </w:pPr>
      <w:r>
        <w:t>Mit dieser Teilaufgabe wird deklaratives Wissen im Bereich der syntaktischen Struktur deutscher Satzformen – sowie implizit der morphologischen (Flexions-)Merkmale von Verben – getestet. Um die Teilaufgabe angemessen bearbeiten zu können, müssen die Schülerinnen und Schüler zunächst unter Berücksichtigung morphologischer Aspekte mögliche Wortarten in einem Fantasiesatz identifizieren (hier vor allem die Zuordnung des Wortes „</w:t>
      </w:r>
      <w:proofErr w:type="spellStart"/>
      <w:r>
        <w:t>beitzt</w:t>
      </w:r>
      <w:proofErr w:type="spellEnd"/>
      <w:r>
        <w:t xml:space="preserve">“ zur Klasse der Verben, was durch die Identifikation der für Verben in der 3. Person Singular typischen Flexionsendung </w:t>
      </w:r>
      <w:r>
        <w:rPr>
          <w:i/>
        </w:rPr>
        <w:t>-</w:t>
      </w:r>
      <w:r w:rsidRPr="00754671">
        <w:rPr>
          <w:i/>
        </w:rPr>
        <w:t>t</w:t>
      </w:r>
      <w:r>
        <w:rPr>
          <w:i/>
        </w:rPr>
        <w:t xml:space="preserve"> </w:t>
      </w:r>
      <w:r>
        <w:t xml:space="preserve">gelingen kann). Anschließend gilt es unter Einbezug syntaktischen Wissens zu erkennen, dass das der vorliegende Satz vermutlich eine Frage darstellt, weil das finite Verb in Fragesätzen (als ‚Entscheidungsfrage‘ ohne ‚Fragewort‘) im Deutschen an erster Position steht. </w:t>
      </w:r>
    </w:p>
    <w:p w:rsidR="00984063" w:rsidRPr="003A5D7E" w:rsidRDefault="00984063" w:rsidP="00984063">
      <w:pPr>
        <w:rPr>
          <w:b/>
          <w:sz w:val="24"/>
        </w:rPr>
      </w:pPr>
    </w:p>
    <w:p w:rsidR="00984063" w:rsidRDefault="00984063" w:rsidP="00984063">
      <w:pPr>
        <w:pStyle w:val="IQB-Teilaufgabensubtitel"/>
      </w:pPr>
      <w:r>
        <w:t>Merkmale Teilaufgabe 3</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84"/>
        <w:gridCol w:w="7076"/>
      </w:tblGrid>
      <w:tr w:rsidR="00984063" w:rsidTr="00CA4E63">
        <w:tc>
          <w:tcPr>
            <w:tcW w:w="1984" w:type="dxa"/>
            <w:vAlign w:val="center"/>
          </w:tcPr>
          <w:p w:rsidR="00984063" w:rsidRDefault="00984063" w:rsidP="00CA4E63">
            <w:pPr>
              <w:pStyle w:val="IQB-Merkmal"/>
            </w:pPr>
            <w:r>
              <w:t>Bildungsstandard</w:t>
            </w:r>
          </w:p>
        </w:tc>
        <w:tc>
          <w:tcPr>
            <w:tcW w:w="7086" w:type="dxa"/>
          </w:tcPr>
          <w:p w:rsidR="00984063" w:rsidRDefault="00984063" w:rsidP="00CA4E63">
            <w:pPr>
              <w:pStyle w:val="IQB-Merkmalswert"/>
            </w:pPr>
            <w:r w:rsidRPr="002A0AF2">
              <w:t>HSA/MSA: Satzstrukturen kennen und funktional verwenden: Hauptsatz, Nebensatz/ Gliedsatz, Satzglied, Satzgliedteil (4.3.1)</w:t>
            </w:r>
            <w:r>
              <w:t xml:space="preserve">; </w:t>
            </w:r>
          </w:p>
          <w:p w:rsidR="00984063" w:rsidRDefault="00984063" w:rsidP="00CA4E63">
            <w:pPr>
              <w:pStyle w:val="IQB-Merkmalswert"/>
            </w:pPr>
            <w:r>
              <w:t>HSA: Wortarten kennen und funktional gebrauchen: z.B. Verb: Zeitlichkeit; Substantiv/Nomen: Benennung; Adjektiv: Qualität // MSA: Wortarten kennen und funktional gebrauchen: z.B. Verb: Zeitlichkeit, Modalität; Substantiv/Nomen: Benennung; Adjektiv: Qualität (4.3.2)</w:t>
            </w:r>
          </w:p>
        </w:tc>
      </w:tr>
      <w:tr w:rsidR="00984063" w:rsidTr="00CA4E63">
        <w:tc>
          <w:tcPr>
            <w:tcW w:w="1984" w:type="dxa"/>
            <w:vAlign w:val="center"/>
          </w:tcPr>
          <w:p w:rsidR="00984063" w:rsidRDefault="00984063" w:rsidP="00CA4E63">
            <w:pPr>
              <w:pStyle w:val="IQB-Merkmal"/>
            </w:pPr>
            <w:r>
              <w:t>Kompetenzstufe</w:t>
            </w:r>
          </w:p>
        </w:tc>
        <w:tc>
          <w:tcPr>
            <w:tcW w:w="7086" w:type="dxa"/>
          </w:tcPr>
          <w:p w:rsidR="00984063" w:rsidRDefault="00984063" w:rsidP="00CA4E63">
            <w:pPr>
              <w:pStyle w:val="IQB-Merkmalswert"/>
            </w:pPr>
            <w:r>
              <w:t>a) V, b) V</w:t>
            </w:r>
          </w:p>
        </w:tc>
      </w:tr>
      <w:tr w:rsidR="00984063" w:rsidTr="00CA4E63">
        <w:tc>
          <w:tcPr>
            <w:tcW w:w="1984" w:type="dxa"/>
            <w:vAlign w:val="center"/>
          </w:tcPr>
          <w:p w:rsidR="00984063" w:rsidRDefault="00984063" w:rsidP="00CA4E63">
            <w:pPr>
              <w:pStyle w:val="IQB-Merkmal"/>
            </w:pPr>
            <w:r>
              <w:t>Anforderungsbereich</w:t>
            </w:r>
          </w:p>
        </w:tc>
        <w:tc>
          <w:tcPr>
            <w:tcW w:w="7086" w:type="dxa"/>
          </w:tcPr>
          <w:p w:rsidR="00984063" w:rsidRDefault="00984063" w:rsidP="00CA4E63">
            <w:pPr>
              <w:pStyle w:val="IQB-Merkmalswert"/>
            </w:pPr>
            <w:r>
              <w:t>III</w:t>
            </w:r>
          </w:p>
        </w:tc>
      </w:tr>
    </w:tbl>
    <w:p w:rsidR="00984063" w:rsidRPr="0053290E" w:rsidRDefault="00984063" w:rsidP="00984063">
      <w:pPr>
        <w:pStyle w:val="IQB-Teilaufgabentitel"/>
        <w:spacing w:before="240"/>
      </w:pPr>
      <w:r w:rsidRPr="0053290E">
        <w:t>Aufgabenbezogener Kommentar</w:t>
      </w:r>
    </w:p>
    <w:p w:rsidR="00984063" w:rsidRDefault="00984063" w:rsidP="0001250A">
      <w:pPr>
        <w:jc w:val="both"/>
      </w:pPr>
      <w:r>
        <w:t>Diese Teilaufgabe überprüft die Fähigkeit, eine vorgegebene Zuordnung von Fantasiewörtern zu zwei bestimmten Wortartenklassen des Deutschen (Verben und Adjektive) unter Berücksichtigung der jeweiligen morphologischen wie syntaktischen Kriterien zu begründen.</w:t>
      </w:r>
    </w:p>
    <w:p w:rsidR="00984063" w:rsidRDefault="00984063" w:rsidP="0001250A">
      <w:pPr>
        <w:jc w:val="both"/>
      </w:pPr>
      <w:r>
        <w:t>Sie testet damit vornehmlich deklaratives Wissen über basale Wortarten (Kenntnis der Wortartenbezeichnungen und der jeweiligen morphologischen wie syntaktischen Eigen</w:t>
      </w:r>
      <w:r w:rsidR="0001250A">
        <w:t>-</w:t>
      </w:r>
      <w:proofErr w:type="spellStart"/>
      <w:r>
        <w:t>schaften</w:t>
      </w:r>
      <w:proofErr w:type="spellEnd"/>
      <w:r>
        <w:t xml:space="preserve">). </w:t>
      </w:r>
    </w:p>
    <w:p w:rsidR="00984063" w:rsidRDefault="00984063" w:rsidP="0001250A">
      <w:pPr>
        <w:jc w:val="both"/>
      </w:pPr>
      <w:r>
        <w:t>Bei den Teilaufgaben a) und b) genügt es dabei nicht, für die jeweilige Begründung der Wortartenzugehörigkeit auf die Kleinschreibung der Wörter „</w:t>
      </w:r>
      <w:proofErr w:type="spellStart"/>
      <w:r w:rsidRPr="00B0414F">
        <w:t>blistert</w:t>
      </w:r>
      <w:proofErr w:type="spellEnd"/>
      <w:r>
        <w:rPr>
          <w:i/>
        </w:rPr>
        <w:t>“</w:t>
      </w:r>
      <w:r>
        <w:t xml:space="preserve"> bzw. „</w:t>
      </w:r>
      <w:proofErr w:type="spellStart"/>
      <w:r w:rsidRPr="00B0414F">
        <w:t>fromoftlich</w:t>
      </w:r>
      <w:proofErr w:type="spellEnd"/>
      <w:r>
        <w:t>“ und „</w:t>
      </w:r>
      <w:proofErr w:type="spellStart"/>
      <w:r w:rsidRPr="00B0414F">
        <w:t>troftig</w:t>
      </w:r>
      <w:proofErr w:type="spellEnd"/>
      <w:r>
        <w:t xml:space="preserve">“ zu verweisen, da (im Deutschen) abgesehen von Nomen/Substantiven alle Wortarten </w:t>
      </w:r>
      <w:r>
        <w:lastRenderedPageBreak/>
        <w:t xml:space="preserve">kleingeschrieben werden, sofern sie nicht in der satzeinleitenden Position stehen, und die Kleinschreibung daher </w:t>
      </w:r>
      <w:r w:rsidRPr="001F7046">
        <w:rPr>
          <w:i/>
        </w:rPr>
        <w:t>kei</w:t>
      </w:r>
      <w:r>
        <w:rPr>
          <w:i/>
        </w:rPr>
        <w:t>ne</w:t>
      </w:r>
      <w:r w:rsidRPr="001F7046">
        <w:rPr>
          <w:i/>
        </w:rPr>
        <w:t>n</w:t>
      </w:r>
      <w:r>
        <w:t xml:space="preserve"> Hinweis auf eine konkrete Wortartenzugehörigkeit gibt.</w:t>
      </w:r>
    </w:p>
    <w:p w:rsidR="00984063" w:rsidRDefault="00984063" w:rsidP="0001250A">
      <w:pPr>
        <w:jc w:val="both"/>
      </w:pPr>
      <w:r>
        <w:t xml:space="preserve">Die Aufgabenbearbeitung wird dadurch unterstützt, dass die Zuordnung der Worte zu bestimmten Wortarten bereits vorgegeben ist und die Schülerinnen und Schüler die Wortarten nicht selbstständig (wie in 3.1) benennen müssen. </w:t>
      </w:r>
    </w:p>
    <w:p w:rsidR="00984063" w:rsidRDefault="00984063" w:rsidP="00984063"/>
    <w:p w:rsidR="00984063" w:rsidRDefault="00984063" w:rsidP="00984063">
      <w:pPr>
        <w:pStyle w:val="IQB-Teilaufgabensubtitel"/>
      </w:pPr>
      <w:r>
        <w:t>Merkmale Teilaufgabe 4</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84"/>
        <w:gridCol w:w="7076"/>
      </w:tblGrid>
      <w:tr w:rsidR="00984063" w:rsidTr="00CA4E63">
        <w:tc>
          <w:tcPr>
            <w:tcW w:w="1984" w:type="dxa"/>
            <w:vAlign w:val="center"/>
          </w:tcPr>
          <w:p w:rsidR="00984063" w:rsidRDefault="00984063" w:rsidP="00CA4E63">
            <w:pPr>
              <w:pStyle w:val="IQB-Merkmal"/>
            </w:pPr>
            <w:r>
              <w:t>Bildungsstandard</w:t>
            </w:r>
          </w:p>
        </w:tc>
        <w:tc>
          <w:tcPr>
            <w:tcW w:w="7086" w:type="dxa"/>
          </w:tcPr>
          <w:p w:rsidR="00984063" w:rsidRDefault="00984063" w:rsidP="00CA4E63">
            <w:pPr>
              <w:pStyle w:val="IQB-Merkmalswert"/>
            </w:pPr>
            <w:r>
              <w:t>HSA: Unterschiede und Gemeinsamkeiten verschiedener Sprachen wahrnehmen // MSA: Mehrsprachigkeit (Schülerinnen und Schüler mit anderer Muttersprache und Fremdsprachenlernen) zur Entwicklung der Sprachbewusstheit und zum Sprachvergleich nutzen (4.1.7)</w:t>
            </w:r>
          </w:p>
        </w:tc>
      </w:tr>
      <w:tr w:rsidR="00984063" w:rsidTr="00CA4E63">
        <w:tc>
          <w:tcPr>
            <w:tcW w:w="1984" w:type="dxa"/>
            <w:vAlign w:val="center"/>
          </w:tcPr>
          <w:p w:rsidR="00984063" w:rsidRDefault="00984063" w:rsidP="00CA4E63">
            <w:pPr>
              <w:pStyle w:val="IQB-Merkmal"/>
            </w:pPr>
            <w:r>
              <w:t>Kompetenzstufe</w:t>
            </w:r>
          </w:p>
        </w:tc>
        <w:tc>
          <w:tcPr>
            <w:tcW w:w="7086" w:type="dxa"/>
          </w:tcPr>
          <w:p w:rsidR="00984063" w:rsidRDefault="00984063" w:rsidP="00CA4E63">
            <w:pPr>
              <w:pStyle w:val="IQB-Merkmalswert"/>
            </w:pPr>
            <w:r>
              <w:t>V</w:t>
            </w:r>
          </w:p>
        </w:tc>
      </w:tr>
      <w:tr w:rsidR="00984063" w:rsidTr="00CA4E63">
        <w:tc>
          <w:tcPr>
            <w:tcW w:w="1984" w:type="dxa"/>
            <w:vAlign w:val="center"/>
          </w:tcPr>
          <w:p w:rsidR="00984063" w:rsidRDefault="00984063" w:rsidP="00CA4E63">
            <w:pPr>
              <w:pStyle w:val="IQB-Merkmal"/>
            </w:pPr>
            <w:r>
              <w:t>Anforderungsbereich</w:t>
            </w:r>
          </w:p>
        </w:tc>
        <w:tc>
          <w:tcPr>
            <w:tcW w:w="7086" w:type="dxa"/>
          </w:tcPr>
          <w:p w:rsidR="00984063" w:rsidRDefault="00984063" w:rsidP="00CA4E63">
            <w:pPr>
              <w:pStyle w:val="IQB-Merkmalswert"/>
            </w:pPr>
            <w:r>
              <w:t>III</w:t>
            </w:r>
          </w:p>
        </w:tc>
      </w:tr>
    </w:tbl>
    <w:p w:rsidR="00984063" w:rsidRPr="0053290E" w:rsidRDefault="00984063" w:rsidP="00984063">
      <w:pPr>
        <w:pStyle w:val="IQB-Teilaufgabentitel"/>
        <w:spacing w:before="240"/>
      </w:pPr>
      <w:r w:rsidRPr="0053290E">
        <w:t>Aufgabenbezogener Kommentar</w:t>
      </w:r>
    </w:p>
    <w:p w:rsidR="00984063" w:rsidRDefault="00984063" w:rsidP="0001250A">
      <w:pPr>
        <w:jc w:val="both"/>
      </w:pPr>
      <w:r>
        <w:t xml:space="preserve">Diese Teilaufgabe testet die Fähigkeit, </w:t>
      </w:r>
      <w:proofErr w:type="spellStart"/>
      <w:r>
        <w:t>Graphemverbindungen</w:t>
      </w:r>
      <w:proofErr w:type="spellEnd"/>
      <w:r>
        <w:t xml:space="preserve"> zu identifizieren, die im Deutschen nicht vorkommen. Die Schülerinnen und Schüler müssen die vorliegenden Fantasiewörter „</w:t>
      </w:r>
      <w:proofErr w:type="spellStart"/>
      <w:r w:rsidRPr="007948AF">
        <w:t>Mrempel</w:t>
      </w:r>
      <w:proofErr w:type="spellEnd"/>
      <w:r>
        <w:t>“ und „</w:t>
      </w:r>
      <w:proofErr w:type="spellStart"/>
      <w:r w:rsidRPr="007948AF">
        <w:t>Vlogh</w:t>
      </w:r>
      <w:proofErr w:type="spellEnd"/>
      <w:r>
        <w:t xml:space="preserve">“ hinsichtlich ihrer graphematischen (und damit einhergehend implizit auch der morphologischen) Struktur genau untersuchen und erkennen, dass es bestimmte </w:t>
      </w:r>
      <w:proofErr w:type="spellStart"/>
      <w:r>
        <w:t>Graphemkombinationen</w:t>
      </w:r>
      <w:proofErr w:type="spellEnd"/>
      <w:r>
        <w:t xml:space="preserve"> in morphologisch einfachen deutschen Wörtern nicht gibt: Die </w:t>
      </w:r>
      <w:proofErr w:type="spellStart"/>
      <w:r>
        <w:t>Graphemverbindungen</w:t>
      </w:r>
      <w:proofErr w:type="spellEnd"/>
      <w:r>
        <w:t xml:space="preserve"> „</w:t>
      </w:r>
      <w:proofErr w:type="spellStart"/>
      <w:r>
        <w:t>mr</w:t>
      </w:r>
      <w:proofErr w:type="spellEnd"/>
      <w:r>
        <w:t>“, „</w:t>
      </w:r>
      <w:proofErr w:type="spellStart"/>
      <w:r>
        <w:t>vl</w:t>
      </w:r>
      <w:proofErr w:type="spellEnd"/>
      <w:r>
        <w:t>“ und „</w:t>
      </w:r>
      <w:proofErr w:type="spellStart"/>
      <w:r>
        <w:t>gh</w:t>
      </w:r>
      <w:proofErr w:type="spellEnd"/>
      <w:r>
        <w:t xml:space="preserve">“ liegen in deutschen Wörtern ausschließlich am </w:t>
      </w:r>
      <w:proofErr w:type="spellStart"/>
      <w:r>
        <w:t>Morphemschnitt</w:t>
      </w:r>
      <w:proofErr w:type="spellEnd"/>
      <w:r>
        <w:t xml:space="preserve"> bzw. an der Morphemgrenze in komplexen Wörtern vor, d. h. nur dann, wenn lexikalische Morpheme bei Komposita (Zusammensetzungen) aufeinander</w:t>
      </w:r>
      <w:r w:rsidR="0001250A">
        <w:t>-</w:t>
      </w:r>
      <w:r>
        <w:t>treffen, wie z. B. in den Wörtern „Flu</w:t>
      </w:r>
      <w:r w:rsidRPr="00D73A39">
        <w:rPr>
          <w:u w:val="single"/>
        </w:rPr>
        <w:t>gh</w:t>
      </w:r>
      <w:r>
        <w:t>afen“ oder „Bau</w:t>
      </w:r>
      <w:r w:rsidRPr="00D73A39">
        <w:rPr>
          <w:u w:val="single"/>
        </w:rPr>
        <w:t>mr</w:t>
      </w:r>
      <w:r>
        <w:t xml:space="preserve">inde“. Das Wissen über mögliche </w:t>
      </w:r>
      <w:proofErr w:type="spellStart"/>
      <w:r>
        <w:t>Graphemverbindungen</w:t>
      </w:r>
      <w:proofErr w:type="spellEnd"/>
      <w:r>
        <w:t xml:space="preserve"> im Deutschen unterstützt insbesondere den Leseprozess kompetenter Leserinnen und Leser. Das schnelle Erfassen untypischer </w:t>
      </w:r>
      <w:proofErr w:type="spellStart"/>
      <w:r>
        <w:t>Graphemverbindungen</w:t>
      </w:r>
      <w:proofErr w:type="spellEnd"/>
      <w:r>
        <w:t xml:space="preserve"> (z. B. „</w:t>
      </w:r>
      <w:proofErr w:type="spellStart"/>
      <w:r>
        <w:t>mr</w:t>
      </w:r>
      <w:proofErr w:type="spellEnd"/>
      <w:r>
        <w:t>“ oder „</w:t>
      </w:r>
      <w:proofErr w:type="spellStart"/>
      <w:r>
        <w:t>gh</w:t>
      </w:r>
      <w:proofErr w:type="spellEnd"/>
      <w:r>
        <w:t>“) führt während des Leseprozesses dazu, Morphemgrenzen schneller zu identifizieren und so die Semantik insbesondere komplexer Wörter schneller zu erfassen.</w:t>
      </w:r>
    </w:p>
    <w:p w:rsidR="00984063" w:rsidRDefault="00984063" w:rsidP="0001250A">
      <w:pPr>
        <w:jc w:val="both"/>
      </w:pPr>
      <w:r>
        <w:t xml:space="preserve">Die Schwierigkeit der Aufgabenbearbeitung resultiert einerseits daraus, dass sich in der Aufgabenstellung kein Hinweis </w:t>
      </w:r>
      <w:proofErr w:type="gramStart"/>
      <w:r>
        <w:t>auf den genauer zu untersuchenden Aspekt</w:t>
      </w:r>
      <w:proofErr w:type="gramEnd"/>
      <w:r>
        <w:t xml:space="preserve"> der zu analysierenden Wörter findet. Zudem müssen der </w:t>
      </w:r>
      <w:proofErr w:type="spellStart"/>
      <w:r>
        <w:t>Graphembestand</w:t>
      </w:r>
      <w:proofErr w:type="spellEnd"/>
      <w:r>
        <w:t xml:space="preserve"> der deutschen Sprache und die möglichen Verbindungen daraus zumindest implizit sicher beherrscht werden. Darüber hinaus gehören in dem gesamten Textausschnitt lediglich fünf Wörter nicht der deutschen Sprache an, wodurch das für die Aufgabenbearbeitung erforderliche Abstrahieren von einer semantischen oder phonologischen auf eine strukturelle Ebene erschwert wird. Schülerinnen und Schüler, die die o.g. Phänomene nicht erkennen bzw. denen diese Abstraktionsleistung nicht gelingt, werden in ihren Antworten vermutlich auf einer semantischen Ebene mit Blick auf die nicht existierende Wortbedeutung oder aber auf einer phonologischen Ebene (bzgl. der unbekannten Aussprache) argumentieren. Die Kontextualisierung der Aufgabe erlaubt jedoch nur eine strukturelle Erklärung, da „Pierre“ z.B. eine „typische“ deutsche Lautung unbekannt wäre und er nicht über das notwendige semantische Wissen verfügen könnte, Wörter aufgrund ihrer Semantik als „Fremdwörter“ zu identifizieren.</w:t>
      </w:r>
    </w:p>
    <w:p w:rsidR="00984063" w:rsidRDefault="00984063" w:rsidP="0001250A">
      <w:pPr>
        <w:jc w:val="both"/>
      </w:pPr>
      <w:r>
        <w:t>Unterstützt wird die Aufgabenbearbeitung jedoch dadurch, dass in dem Aufgabentext drei weitere Fantasiewörter enthalten sind („</w:t>
      </w:r>
      <w:proofErr w:type="spellStart"/>
      <w:r>
        <w:t>Tröpsel</w:t>
      </w:r>
      <w:proofErr w:type="spellEnd"/>
      <w:r>
        <w:t>“, „</w:t>
      </w:r>
      <w:proofErr w:type="spellStart"/>
      <w:r>
        <w:t>Giesbel</w:t>
      </w:r>
      <w:proofErr w:type="spellEnd"/>
      <w:r>
        <w:t>“ und „</w:t>
      </w:r>
      <w:proofErr w:type="spellStart"/>
      <w:r>
        <w:t>Sopel</w:t>
      </w:r>
      <w:proofErr w:type="spellEnd"/>
      <w:r>
        <w:t xml:space="preserve">“), die jedoch </w:t>
      </w:r>
      <w:r w:rsidRPr="00F7665F">
        <w:rPr>
          <w:i/>
        </w:rPr>
        <w:t>nicht</w:t>
      </w:r>
      <w:r>
        <w:t xml:space="preserve"> eindeutig der Klasse ‚nichtdeutscher Wörter‘ zugeordnet werden können (alle Buchstaben/</w:t>
      </w:r>
      <w:r w:rsidR="0001250A">
        <w:t xml:space="preserve"> </w:t>
      </w:r>
      <w:r>
        <w:t xml:space="preserve">Grapheme und </w:t>
      </w:r>
      <w:proofErr w:type="spellStart"/>
      <w:r>
        <w:t>Graphemverbindungen</w:t>
      </w:r>
      <w:proofErr w:type="spellEnd"/>
      <w:r>
        <w:t xml:space="preserve"> gibt es so auch in der deutschen Sprache). Sie können aber als „Vergleichsgröße“ herangezogen werden, indem die Schülerinnen und Schüler die Wörter auf Gemeinsamkeiten und Unterschiede hin untersuchen und auf dieser Grundlage entscheiden können, welche Merkmale die für die Aufgabe relevanten Wörter „</w:t>
      </w:r>
      <w:proofErr w:type="spellStart"/>
      <w:r>
        <w:t>Mrempel</w:t>
      </w:r>
      <w:proofErr w:type="spellEnd"/>
      <w:r>
        <w:t>“ und „</w:t>
      </w:r>
      <w:proofErr w:type="spellStart"/>
      <w:r>
        <w:t>Vlogh</w:t>
      </w:r>
      <w:proofErr w:type="spellEnd"/>
      <w:r>
        <w:t xml:space="preserve">“ von den übrigen Fantasiewörtern unterscheiden. Für die Aufgabenbearbeitung ist deklaratives Wissen (über im Deutschen (nicht) existierende Buchstaben- bzw. </w:t>
      </w:r>
      <w:proofErr w:type="spellStart"/>
      <w:r>
        <w:t>Graphemkombinationen</w:t>
      </w:r>
      <w:proofErr w:type="spellEnd"/>
      <w:r>
        <w:t>) erforderlich.</w:t>
      </w:r>
    </w:p>
    <w:p w:rsidR="00984063" w:rsidRDefault="00984063" w:rsidP="00984063">
      <w:pPr>
        <w:pStyle w:val="IQB-Teilaufgabensubtitel"/>
      </w:pPr>
      <w:r>
        <w:lastRenderedPageBreak/>
        <w:t>Merkmale Teilaufgabe 5</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84"/>
        <w:gridCol w:w="7076"/>
      </w:tblGrid>
      <w:tr w:rsidR="00984063" w:rsidTr="00CA4E63">
        <w:tc>
          <w:tcPr>
            <w:tcW w:w="1984" w:type="dxa"/>
            <w:vAlign w:val="center"/>
          </w:tcPr>
          <w:p w:rsidR="00984063" w:rsidRDefault="00984063" w:rsidP="00CA4E63">
            <w:pPr>
              <w:pStyle w:val="IQB-Merkmal"/>
            </w:pPr>
            <w:r>
              <w:t>Bildungsstandard</w:t>
            </w:r>
          </w:p>
        </w:tc>
        <w:tc>
          <w:tcPr>
            <w:tcW w:w="7086" w:type="dxa"/>
          </w:tcPr>
          <w:p w:rsidR="00984063" w:rsidRDefault="00984063" w:rsidP="00CA4E63">
            <w:pPr>
              <w:pStyle w:val="IQB-Merkmalswert"/>
            </w:pPr>
            <w:r>
              <w:t>HSA: Wortarten kennen und funktional gebrauchen: z.B. Verb: Zeitlichkeit; Substantiv/Nomen: Benennung; Adjektiv: Qualität // MSA: Wortarten kennen und funktional gebrauchen: z.B. Verb: Zeitlichkeit, Modalität; Substantiv/Nomen: Benennung; Adjektiv: Qualität (4.3.2)</w:t>
            </w:r>
            <w:r w:rsidRPr="001D3D91">
              <w:t xml:space="preserve">; </w:t>
            </w:r>
          </w:p>
          <w:p w:rsidR="00984063" w:rsidRPr="001D3D91" w:rsidRDefault="00984063" w:rsidP="00CA4E63">
            <w:pPr>
              <w:pStyle w:val="IQB-Merkmalswert"/>
            </w:pPr>
            <w:r w:rsidRPr="001D3D91">
              <w:t>HSA: grammatische Kategorien in situativen und funktionalen Zusammenhängen verwenden: z.B. Tempus, Aktiv/Passiv; Ge</w:t>
            </w:r>
            <w:r>
              <w:t xml:space="preserve">nus, Numerus, Kasus; Steigerung </w:t>
            </w:r>
            <w:r w:rsidRPr="001D3D91">
              <w:t xml:space="preserve">// MSA: grammatische Kategorien und ihre Leistungen in situativen und funktionalen Zusammenhängen kennen und </w:t>
            </w:r>
            <w:r w:rsidRPr="00E73536">
              <w:t xml:space="preserve">nutzen, insbesondere Tempus, Modus (Indikativ, Konjunktiv I/II), Aktiv/ Passiv; Genus, Numerus, Kasus; Steigerung </w:t>
            </w:r>
            <w:r w:rsidRPr="001D3D91">
              <w:t>(4.3.3)</w:t>
            </w:r>
          </w:p>
        </w:tc>
      </w:tr>
      <w:tr w:rsidR="00984063" w:rsidRPr="002B4126" w:rsidTr="00CA4E63">
        <w:tc>
          <w:tcPr>
            <w:tcW w:w="1984" w:type="dxa"/>
            <w:vAlign w:val="center"/>
          </w:tcPr>
          <w:p w:rsidR="00984063" w:rsidRDefault="00984063" w:rsidP="00CA4E63">
            <w:pPr>
              <w:pStyle w:val="IQB-Merkmal"/>
            </w:pPr>
            <w:r>
              <w:t>Kompetenzstufe</w:t>
            </w:r>
          </w:p>
        </w:tc>
        <w:tc>
          <w:tcPr>
            <w:tcW w:w="7086" w:type="dxa"/>
          </w:tcPr>
          <w:p w:rsidR="00984063" w:rsidRPr="001D3D91" w:rsidRDefault="00984063" w:rsidP="00CA4E63">
            <w:pPr>
              <w:pStyle w:val="IQB-Merkmalswert"/>
              <w:rPr>
                <w:lang w:val="en-US"/>
              </w:rPr>
            </w:pPr>
            <w:r w:rsidRPr="001D3D91">
              <w:rPr>
                <w:lang w:val="en-US"/>
              </w:rPr>
              <w:t>a) I, b) III, c) II, d) II</w:t>
            </w:r>
          </w:p>
        </w:tc>
      </w:tr>
      <w:tr w:rsidR="00984063" w:rsidTr="00CA4E63">
        <w:tc>
          <w:tcPr>
            <w:tcW w:w="1984" w:type="dxa"/>
            <w:vAlign w:val="center"/>
          </w:tcPr>
          <w:p w:rsidR="00984063" w:rsidRDefault="00984063" w:rsidP="00CA4E63">
            <w:pPr>
              <w:pStyle w:val="IQB-Merkmal"/>
            </w:pPr>
            <w:r>
              <w:t>Anforderungsbereich</w:t>
            </w:r>
          </w:p>
        </w:tc>
        <w:tc>
          <w:tcPr>
            <w:tcW w:w="7086" w:type="dxa"/>
          </w:tcPr>
          <w:p w:rsidR="00984063" w:rsidRDefault="00984063" w:rsidP="00CA4E63">
            <w:pPr>
              <w:pStyle w:val="IQB-Merkmalswert"/>
            </w:pPr>
            <w:r>
              <w:t>I</w:t>
            </w:r>
          </w:p>
        </w:tc>
      </w:tr>
    </w:tbl>
    <w:p w:rsidR="00984063" w:rsidRPr="0053290E" w:rsidRDefault="00984063" w:rsidP="00984063">
      <w:pPr>
        <w:pStyle w:val="IQB-Teilaufgabentitel"/>
        <w:spacing w:before="240"/>
      </w:pPr>
      <w:r w:rsidRPr="0053290E">
        <w:t>Aufgabenbezogener Kommentar</w:t>
      </w:r>
    </w:p>
    <w:p w:rsidR="00984063" w:rsidRDefault="00984063" w:rsidP="0001250A">
      <w:pPr>
        <w:jc w:val="both"/>
      </w:pPr>
      <w:r>
        <w:t xml:space="preserve">Diese Teilaufgabe überprüft prozedurales, anwendungsbezogenes Wissen im Hinblick auf die Konjugation. Für die Bearbeitung der Aufgabe müssen die Schülerinnen und Schüler unter Berücksichtigung der Flexionsregeln für deutsche Verben vorgegebene Fantasiewörter hinsichtlich Person und Numerus konjugieren. Zwar werden in der Aufgabenstellung die Fachtermini </w:t>
      </w:r>
      <w:r w:rsidRPr="005F7BEC">
        <w:t>„</w:t>
      </w:r>
      <w:r w:rsidRPr="000645CD">
        <w:t>Infinitiv</w:t>
      </w:r>
      <w:r w:rsidRPr="005F7BEC">
        <w:t>“</w:t>
      </w:r>
      <w:r>
        <w:t xml:space="preserve">, </w:t>
      </w:r>
      <w:r w:rsidRPr="005F7BEC">
        <w:t>„</w:t>
      </w:r>
      <w:r w:rsidRPr="000645CD">
        <w:t>Präsens</w:t>
      </w:r>
      <w:r w:rsidRPr="005F7BEC">
        <w:t>“</w:t>
      </w:r>
      <w:r>
        <w:t xml:space="preserve"> und </w:t>
      </w:r>
      <w:r w:rsidRPr="005F7BEC">
        <w:t>„</w:t>
      </w:r>
      <w:r w:rsidRPr="000645CD">
        <w:t>Verb</w:t>
      </w:r>
      <w:r w:rsidRPr="005F7BEC">
        <w:t xml:space="preserve">“ </w:t>
      </w:r>
      <w:r>
        <w:t>verwendet, durch die Illustration der Aufgaben</w:t>
      </w:r>
      <w:r w:rsidR="0001250A">
        <w:t>-</w:t>
      </w:r>
      <w:r>
        <w:t>bearbeitung anhand eines Beispiels sowie  durch das Anführen der jeweiligen Personal</w:t>
      </w:r>
      <w:r w:rsidR="0001250A">
        <w:t>-</w:t>
      </w:r>
      <w:r>
        <w:t>pronomen in den Aufgabenteilen ist die Kenntnis einer entsprechenden Fachterminologie und damit deklaratives Wissen für die Bearbeitung der Aufgabe jedoch nicht erforderlich.</w:t>
      </w:r>
    </w:p>
    <w:p w:rsidR="00984063" w:rsidRPr="003A5D7E" w:rsidRDefault="00984063" w:rsidP="00984063">
      <w:pPr>
        <w:rPr>
          <w:b/>
          <w:sz w:val="24"/>
        </w:rPr>
      </w:pPr>
    </w:p>
    <w:p w:rsidR="00984063" w:rsidRPr="0053290E" w:rsidRDefault="00984063" w:rsidP="00984063">
      <w:pPr>
        <w:pStyle w:val="IQB-Teilaufgabentitel"/>
        <w:spacing w:before="240"/>
      </w:pPr>
      <w:r w:rsidRPr="0053290E">
        <w:t>Anregungen für den Unterricht</w:t>
      </w:r>
    </w:p>
    <w:p w:rsidR="00984063" w:rsidRDefault="00984063" w:rsidP="0001250A">
      <w:pPr>
        <w:jc w:val="both"/>
      </w:pPr>
      <w:r>
        <w:t>Die Bearbeitung dieser Aufgabe erfordert einen systematischen Zugriff auf Strukturen einer den Schülerinnen und Schülern unbekannten (Fantasie-)Sprache, die jedoch wesentliche morphologische und syntaktische Übereinstimmungen mit der deutschen Sprache aufweist und damit einen guten Ansatzpunkt für einen systematischen Sprachvergleich bietet. Auf diese Weise werden Reflexionsprozesse über den Aufbau der Grammatik des Deutschen in Gang gesetzt, die frei von einem semantischen Zugang sind. Den Schülerinnen und Schülern kann so vermittelt werden, dass die Grammatik das System einer Sprache abbildet.</w:t>
      </w:r>
    </w:p>
    <w:p w:rsidR="00984063" w:rsidRDefault="00984063" w:rsidP="00984063"/>
    <w:p w:rsidR="00984063" w:rsidRDefault="00984063" w:rsidP="0001250A">
      <w:pPr>
        <w:jc w:val="both"/>
      </w:pPr>
      <w:r>
        <w:t>In der Sprachwissenschaft herrscht heute weitgehende Einigkeit darüber, dass bei der Einteilung von Wortarten von einer rein semantisch orientierten Beschreibung abgesehen und stattdessen eine Fokussierung und entsprechend eine Einteilung nach morphologischen und syntaktischen Eigenschaften erfolgen sollte. Die reine Betrachtung semantischer Merkmale ist sehr ungenau, und insbesondere der Tatsache, dass verschiedene Wörter je nach Verwendungsweise im konkret vorliegenden Satzzusammenhang als ganz unterschiedliche Wortarten gebraucht werden können (so zum Beispiel „</w:t>
      </w:r>
      <w:r w:rsidRPr="00B377BF">
        <w:rPr>
          <w:i/>
        </w:rPr>
        <w:t>laufen</w:t>
      </w:r>
      <w:r>
        <w:t>“ als Verb, das in der Folge einer Nominalisierung im konkret vorliegenden Satz „</w:t>
      </w:r>
      <w:r w:rsidRPr="00B377BF">
        <w:rPr>
          <w:i/>
        </w:rPr>
        <w:t>Das Laufen fällt mir schwer</w:t>
      </w:r>
      <w:r>
        <w:t xml:space="preserve">“ als Substantiv gebraucht wird, obgleich es nach wie vor eine ‚Tätigkeit‘ bezeichnet), wird so keine Rechnung getragen. Bei der Definition bzw. Untersuchung und Bestimmung von Wortarten gilt es folglich in erster Linie darauf zu schauen, wie ein Wort in einem größeren strukturellen Kontext verwendet wird, welche morphologischen Merkmale ggf. Aufschluss über die jeweilige Wortart geben können und in welcher Wortart es folglich vorliegt (für eine entsprechende Arbeit mit morphologisch und syntaktisch basierten Wortartendefinitionen siehe die Anregungen zum Unterricht im Kontext der Aufgabe 4). </w:t>
      </w:r>
    </w:p>
    <w:p w:rsidR="00984063" w:rsidRDefault="00984063" w:rsidP="00984063"/>
    <w:p w:rsidR="00984063" w:rsidRDefault="00984063" w:rsidP="0001250A">
      <w:pPr>
        <w:jc w:val="both"/>
      </w:pPr>
      <w:r>
        <w:t xml:space="preserve">Insbesondere der Rückgriff bzw. die gezielte Analyse morphologischer Strukturen unterschiedlicher Wortarten sollte – anknüpfend an die vorliegenden Teilaufgaben 3.1 und 3.3 – in unterrichtlichen Zusammenhängen gezielt gefördert werden. So bietet es sich zunächst an, dass Schülerinnen und Schüler mithilfe konkreter Fragestellungen Wortmaterial nach vorgegebenen Kategorien (oder aber induktiv ohne Vorgabe solcher Kategorien) zu sortieren </w:t>
      </w:r>
      <w:r>
        <w:lastRenderedPageBreak/>
        <w:t>und zu kategorisieren. Auf diese Weise wäre es beispielsweise denkbar, ausgewählte Affixe (Prä- und Suffixe) als typische Marker bestimmter Wortarten zu identifizieren (z. B. anknüpfend an Teilaufgabe 3.3 „-</w:t>
      </w:r>
      <w:proofErr w:type="spellStart"/>
      <w:r>
        <w:t>lich</w:t>
      </w:r>
      <w:proofErr w:type="spellEnd"/>
      <w:r>
        <w:t>“, „-</w:t>
      </w:r>
      <w:proofErr w:type="spellStart"/>
      <w:r>
        <w:t>ig</w:t>
      </w:r>
      <w:proofErr w:type="spellEnd"/>
      <w:r>
        <w:t>“ oder „-bar“ als Marker für Adjektive, wohingegen das Suffix „</w:t>
      </w:r>
      <w:r w:rsidR="0001250A">
        <w:noBreakHyphen/>
      </w:r>
      <w:proofErr w:type="spellStart"/>
      <w:r>
        <w:t>ung</w:t>
      </w:r>
      <w:proofErr w:type="spellEnd"/>
      <w:r>
        <w:t>“ typisch ist für Substantive und das Präfix „</w:t>
      </w:r>
      <w:proofErr w:type="spellStart"/>
      <w:r>
        <w:t>un</w:t>
      </w:r>
      <w:proofErr w:type="spellEnd"/>
      <w:r>
        <w:t>-“ einen Marker für Adjektive darstellt) oder gezielt an vorhandenem Wortmaterial typische Flexionsmarkierungen abzuleiten (beispiels</w:t>
      </w:r>
      <w:r w:rsidR="0001250A">
        <w:t>-</w:t>
      </w:r>
      <w:r>
        <w:t>weise anknüpfend an Teilaufgabe 3.5 Beispielsweise die Flexionsmarkierungen finiter Verb</w:t>
      </w:r>
      <w:r w:rsidR="0001250A">
        <w:t>-</w:t>
      </w:r>
      <w:r>
        <w:t>formen je nach Person und Numerus oder aber die Morpheme zur Markierung der Komparationsformen von Adjektiven) abzuleiten. Auf diese Weise kann es gelingen, Schülerinnen und Schüler dazu anzuleiten, in einem selbstentdeckenden Verfahren – auch in Partner- oder Gruppenarbeit – auf induktivem Wege morphologische Regelmäßigkeiten festzustellen und Eigenregeln zu formulieren, um diese besser zu memorieren und auch anzuwenden.</w:t>
      </w:r>
    </w:p>
    <w:p w:rsidR="00984063" w:rsidRDefault="00984063" w:rsidP="00984063">
      <w:pPr>
        <w:jc w:val="both"/>
      </w:pPr>
    </w:p>
    <w:p w:rsidR="00984063" w:rsidRDefault="00984063" w:rsidP="0001250A">
      <w:pPr>
        <w:jc w:val="both"/>
      </w:pPr>
      <w:r>
        <w:t>Die Schwierigkeit bei der Bearbeitung von b) der Teilaufgabe 3.3 zeigt, dass insbesondere Adjektivendungen schwer erkannt werden. Oftmals finden sich Fehler, die darauf beruhen, dass Schülerinnen und Schüler nicht erkennen, dass es im Deutschen die Adjektivendung „</w:t>
      </w:r>
      <w:r w:rsidR="0001250A">
        <w:noBreakHyphen/>
      </w:r>
      <w:proofErr w:type="spellStart"/>
      <w:r>
        <w:t>lig</w:t>
      </w:r>
      <w:proofErr w:type="spellEnd"/>
      <w:r>
        <w:t>“ nicht gibt. Um diese zu vermeiden, kann als deklaratives Wissen vorgegeben werden, dass im Deutschen die Suffixe –</w:t>
      </w:r>
      <w:proofErr w:type="spellStart"/>
      <w:r>
        <w:t>lich</w:t>
      </w:r>
      <w:proofErr w:type="spellEnd"/>
      <w:r>
        <w:t xml:space="preserve"> und –</w:t>
      </w:r>
      <w:proofErr w:type="spellStart"/>
      <w:r>
        <w:t>ig</w:t>
      </w:r>
      <w:proofErr w:type="spellEnd"/>
      <w:r>
        <w:t xml:space="preserve"> verbreitet sind und im Anschluss daran können Wörter vorgegeben oder gesammelt werden, bei denen nur der Stamm angegeben wird, und die Schülerinnen und Schüler selbst entscheiden müssen, welches das jeweils richtige Suffix ist:</w:t>
      </w:r>
    </w:p>
    <w:p w:rsidR="00984063" w:rsidRDefault="00984063" w:rsidP="00984063">
      <w:pPr>
        <w:jc w:val="both"/>
      </w:pPr>
    </w:p>
    <w:p w:rsidR="00984063" w:rsidRDefault="00984063" w:rsidP="00984063">
      <w:pPr>
        <w:jc w:val="both"/>
      </w:pPr>
      <w:r>
        <w:t xml:space="preserve"> </w:t>
      </w:r>
      <w:r w:rsidRPr="00984063">
        <w:rPr>
          <w:noProof/>
          <w:lang w:val="en-US" w:eastAsia="en-US"/>
        </w:rPr>
        <w:drawing>
          <wp:inline distT="0" distB="0" distL="0" distR="0">
            <wp:extent cx="4845050" cy="750570"/>
            <wp:effectExtent l="0" t="0" r="0" b="0"/>
            <wp:docPr id="3" name="Inline Text Wrapp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 Text Wrapping 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5050" cy="750570"/>
                    </a:xfrm>
                    <a:prstGeom prst="rect">
                      <a:avLst/>
                    </a:prstGeom>
                    <a:noFill/>
                    <a:ln>
                      <a:noFill/>
                    </a:ln>
                  </pic:spPr>
                </pic:pic>
              </a:graphicData>
            </a:graphic>
          </wp:inline>
        </w:drawing>
      </w:r>
    </w:p>
    <w:p w:rsidR="00984063" w:rsidRDefault="00984063" w:rsidP="00984063">
      <w:pPr>
        <w:jc w:val="both"/>
      </w:pPr>
    </w:p>
    <w:p w:rsidR="00984063" w:rsidRDefault="00984063" w:rsidP="00984063">
      <w:pPr>
        <w:jc w:val="both"/>
      </w:pPr>
    </w:p>
    <w:p w:rsidR="00984063" w:rsidRDefault="00984063" w:rsidP="00984063">
      <w:pPr>
        <w:jc w:val="both"/>
      </w:pPr>
      <w:r>
        <w:t>Auch Übungen zum „Wörterlegen“ eigen sich hier gut:</w:t>
      </w:r>
    </w:p>
    <w:p w:rsidR="00984063" w:rsidRDefault="00984063" w:rsidP="00984063">
      <w:pPr>
        <w:jc w:val="both"/>
      </w:pPr>
    </w:p>
    <w:p w:rsidR="00984063" w:rsidRPr="00A80184" w:rsidRDefault="00984063" w:rsidP="00984063">
      <w:pPr>
        <w:jc w:val="both"/>
        <w:rPr>
          <w:sz w:val="20"/>
          <w:szCs w:val="20"/>
        </w:rPr>
      </w:pPr>
      <w:r w:rsidRPr="00A80184">
        <w:rPr>
          <w:sz w:val="20"/>
          <w:szCs w:val="20"/>
        </w:rPr>
        <w:t>„Setze mit den vorgegebenen Bestandteilen jeweils 5 sinnvolle Wörter zusammen. Du</w:t>
      </w:r>
    </w:p>
    <w:p w:rsidR="00984063" w:rsidRPr="00A80184" w:rsidRDefault="00984063" w:rsidP="00984063">
      <w:pPr>
        <w:jc w:val="both"/>
        <w:rPr>
          <w:sz w:val="20"/>
          <w:szCs w:val="20"/>
        </w:rPr>
      </w:pPr>
      <w:r w:rsidRPr="00A80184">
        <w:rPr>
          <w:sz w:val="20"/>
          <w:szCs w:val="20"/>
        </w:rPr>
        <w:t>darfst die Bestandteile auch mehrfach verwenden.</w:t>
      </w:r>
    </w:p>
    <w:p w:rsidR="00984063" w:rsidRDefault="00984063" w:rsidP="00984063">
      <w:pPr>
        <w:jc w:val="both"/>
      </w:pPr>
      <w:r w:rsidRPr="00A80184">
        <w:rPr>
          <w:sz w:val="20"/>
          <w:szCs w:val="20"/>
        </w:rPr>
        <w:t>Achte auf die richtige Groß- und Kleinschreibung der neuen Wörter.“</w:t>
      </w:r>
      <w:r>
        <w:t xml:space="preserve"> </w:t>
      </w:r>
    </w:p>
    <w:tbl>
      <w:tblPr>
        <w:tblStyle w:val="Tabellenraster"/>
        <w:tblW w:w="0" w:type="auto"/>
        <w:tblLook w:val="04A0" w:firstRow="1" w:lastRow="0" w:firstColumn="1" w:lastColumn="0" w:noHBand="0" w:noVBand="1"/>
      </w:tblPr>
      <w:tblGrid>
        <w:gridCol w:w="1507"/>
        <w:gridCol w:w="1501"/>
        <w:gridCol w:w="1515"/>
        <w:gridCol w:w="1506"/>
        <w:gridCol w:w="1523"/>
        <w:gridCol w:w="1508"/>
      </w:tblGrid>
      <w:tr w:rsidR="00984063" w:rsidTr="00CA4E63">
        <w:tc>
          <w:tcPr>
            <w:tcW w:w="1629" w:type="dxa"/>
          </w:tcPr>
          <w:p w:rsidR="00984063" w:rsidRDefault="00984063" w:rsidP="00CA4E63">
            <w:pPr>
              <w:jc w:val="both"/>
            </w:pPr>
            <w:r>
              <w:t>bei</w:t>
            </w:r>
          </w:p>
        </w:tc>
        <w:tc>
          <w:tcPr>
            <w:tcW w:w="1629" w:type="dxa"/>
          </w:tcPr>
          <w:p w:rsidR="00984063" w:rsidRDefault="00984063" w:rsidP="00CA4E63">
            <w:pPr>
              <w:jc w:val="both"/>
            </w:pPr>
            <w:r>
              <w:t>en</w:t>
            </w:r>
          </w:p>
        </w:tc>
        <w:tc>
          <w:tcPr>
            <w:tcW w:w="1630" w:type="dxa"/>
          </w:tcPr>
          <w:p w:rsidR="00984063" w:rsidRDefault="00984063" w:rsidP="00CA4E63">
            <w:pPr>
              <w:jc w:val="both"/>
            </w:pPr>
            <w:proofErr w:type="spellStart"/>
            <w:r>
              <w:t>haft</w:t>
            </w:r>
            <w:proofErr w:type="spellEnd"/>
          </w:p>
        </w:tc>
        <w:tc>
          <w:tcPr>
            <w:tcW w:w="1630" w:type="dxa"/>
          </w:tcPr>
          <w:p w:rsidR="00984063" w:rsidRDefault="00984063" w:rsidP="00CA4E63">
            <w:pPr>
              <w:jc w:val="both"/>
            </w:pPr>
            <w:r>
              <w:t>los</w:t>
            </w:r>
          </w:p>
        </w:tc>
        <w:tc>
          <w:tcPr>
            <w:tcW w:w="1630" w:type="dxa"/>
          </w:tcPr>
          <w:p w:rsidR="00984063" w:rsidRDefault="00984063" w:rsidP="00CA4E63">
            <w:pPr>
              <w:jc w:val="both"/>
            </w:pPr>
            <w:r>
              <w:t>spiel</w:t>
            </w:r>
          </w:p>
        </w:tc>
        <w:tc>
          <w:tcPr>
            <w:tcW w:w="1630" w:type="dxa"/>
          </w:tcPr>
          <w:p w:rsidR="00984063" w:rsidRDefault="00984063" w:rsidP="00CA4E63">
            <w:pPr>
              <w:jc w:val="both"/>
            </w:pPr>
            <w:r>
              <w:t>vor</w:t>
            </w:r>
          </w:p>
        </w:tc>
      </w:tr>
    </w:tbl>
    <w:p w:rsidR="00984063" w:rsidRDefault="00984063" w:rsidP="00984063">
      <w:pPr>
        <w:jc w:val="both"/>
      </w:pPr>
    </w:p>
    <w:p w:rsidR="00984063" w:rsidRDefault="00984063" w:rsidP="00984063">
      <w:pPr>
        <w:jc w:val="both"/>
      </w:pPr>
      <w:proofErr w:type="gramStart"/>
      <w:r>
        <w:t>Darüber hinausgehend</w:t>
      </w:r>
      <w:proofErr w:type="gramEnd"/>
      <w:r>
        <w:t xml:space="preserve"> eignet sich unter Berücksichtigung der jeweils </w:t>
      </w:r>
      <w:r w:rsidRPr="00FB6C81">
        <w:t>wesentlichen</w:t>
      </w:r>
      <w:r>
        <w:t xml:space="preserve"> </w:t>
      </w:r>
      <w:r w:rsidRPr="00FB6C81">
        <w:t>syntaktische</w:t>
      </w:r>
      <w:r>
        <w:t xml:space="preserve">n Merkmale der unterschiedlichen Wortarten für unterrichtliche Kontexte insbesondere die Arbeit mit dem </w:t>
      </w:r>
      <w:r w:rsidRPr="00FF300E">
        <w:rPr>
          <w:i/>
        </w:rPr>
        <w:t xml:space="preserve">topologischen </w:t>
      </w:r>
      <w:r>
        <w:rPr>
          <w:i/>
        </w:rPr>
        <w:t>Satzm</w:t>
      </w:r>
      <w:r w:rsidRPr="00FF300E">
        <w:rPr>
          <w:i/>
        </w:rPr>
        <w:t>odell</w:t>
      </w:r>
      <w:r>
        <w:t xml:space="preserve"> (auch: </w:t>
      </w:r>
      <w:proofErr w:type="spellStart"/>
      <w:r w:rsidRPr="00AE3E5B">
        <w:rPr>
          <w:i/>
        </w:rPr>
        <w:t>Stellungsfeldermodell</w:t>
      </w:r>
      <w:proofErr w:type="spellEnd"/>
      <w:r>
        <w:t xml:space="preserve">). Durch die Einteilung eines Satzes in unterschiedliche Felder lässt sich die syntaktische Struktur deutscher Sätze (und </w:t>
      </w:r>
      <w:proofErr w:type="gramStart"/>
      <w:r>
        <w:t>entsprechend die zugrundeliegende Regelhaftigkeit</w:t>
      </w:r>
      <w:proofErr w:type="gramEnd"/>
      <w:r>
        <w:t xml:space="preserve">) gut und vor allem anschaulich beschreiben: </w:t>
      </w:r>
    </w:p>
    <w:p w:rsidR="00984063" w:rsidRDefault="00984063" w:rsidP="00984063">
      <w:pPr>
        <w:jc w:val="both"/>
      </w:pPr>
    </w:p>
    <w:p w:rsidR="00984063" w:rsidRDefault="00984063" w:rsidP="00984063">
      <w:pPr>
        <w:jc w:val="both"/>
      </w:pPr>
    </w:p>
    <w:tbl>
      <w:tblPr>
        <w:tblStyle w:val="Tabellenraster"/>
        <w:tblW w:w="0" w:type="auto"/>
        <w:jc w:val="center"/>
        <w:tblLook w:val="04A0" w:firstRow="1" w:lastRow="0" w:firstColumn="1" w:lastColumn="0" w:noHBand="0" w:noVBand="1"/>
      </w:tblPr>
      <w:tblGrid>
        <w:gridCol w:w="957"/>
        <w:gridCol w:w="948"/>
        <w:gridCol w:w="2478"/>
        <w:gridCol w:w="1226"/>
        <w:gridCol w:w="2595"/>
        <w:gridCol w:w="856"/>
      </w:tblGrid>
      <w:tr w:rsidR="00984063" w:rsidTr="00CA4E63">
        <w:trPr>
          <w:trHeight w:val="681"/>
          <w:jc w:val="center"/>
        </w:trPr>
        <w:tc>
          <w:tcPr>
            <w:tcW w:w="975" w:type="dxa"/>
          </w:tcPr>
          <w:p w:rsidR="00984063" w:rsidRDefault="00984063" w:rsidP="00CA4E63">
            <w:pPr>
              <w:jc w:val="both"/>
            </w:pPr>
            <w:r>
              <w:t>[Vor-Vorfeld]</w:t>
            </w:r>
          </w:p>
        </w:tc>
        <w:tc>
          <w:tcPr>
            <w:tcW w:w="977" w:type="dxa"/>
          </w:tcPr>
          <w:p w:rsidR="00984063" w:rsidRDefault="00984063" w:rsidP="00CA4E63">
            <w:pPr>
              <w:jc w:val="both"/>
            </w:pPr>
            <w:r>
              <w:t>Vorfeld</w:t>
            </w:r>
          </w:p>
        </w:tc>
        <w:tc>
          <w:tcPr>
            <w:tcW w:w="2693" w:type="dxa"/>
          </w:tcPr>
          <w:p w:rsidR="00984063" w:rsidRDefault="00984063" w:rsidP="00CA4E63">
            <w:pPr>
              <w:jc w:val="both"/>
            </w:pPr>
            <w:r>
              <w:t>linkes Verbfeld</w:t>
            </w:r>
          </w:p>
          <w:p w:rsidR="00984063" w:rsidRDefault="00984063" w:rsidP="00CA4E63">
            <w:pPr>
              <w:jc w:val="both"/>
            </w:pPr>
            <w:r>
              <w:t>[bzw. linke Verbklammer]</w:t>
            </w:r>
          </w:p>
        </w:tc>
        <w:tc>
          <w:tcPr>
            <w:tcW w:w="1276" w:type="dxa"/>
          </w:tcPr>
          <w:p w:rsidR="00984063" w:rsidRDefault="00984063" w:rsidP="00CA4E63">
            <w:pPr>
              <w:jc w:val="both"/>
            </w:pPr>
            <w:r>
              <w:t>Mittelfeld</w:t>
            </w:r>
          </w:p>
        </w:tc>
        <w:tc>
          <w:tcPr>
            <w:tcW w:w="2835" w:type="dxa"/>
          </w:tcPr>
          <w:p w:rsidR="00984063" w:rsidRDefault="00984063" w:rsidP="00CA4E63">
            <w:pPr>
              <w:jc w:val="both"/>
            </w:pPr>
            <w:r>
              <w:t>rechtes Verbfeld</w:t>
            </w:r>
          </w:p>
          <w:p w:rsidR="00984063" w:rsidRDefault="00984063" w:rsidP="00CA4E63">
            <w:pPr>
              <w:jc w:val="both"/>
            </w:pPr>
            <w:r>
              <w:t>[bzw. rechte Verbklammer]</w:t>
            </w:r>
          </w:p>
        </w:tc>
        <w:tc>
          <w:tcPr>
            <w:tcW w:w="890" w:type="dxa"/>
          </w:tcPr>
          <w:p w:rsidR="00984063" w:rsidRDefault="00984063" w:rsidP="00CA4E63">
            <w:pPr>
              <w:jc w:val="both"/>
            </w:pPr>
            <w:r>
              <w:t>Nach-feld</w:t>
            </w:r>
          </w:p>
        </w:tc>
      </w:tr>
    </w:tbl>
    <w:p w:rsidR="00984063" w:rsidRDefault="00984063" w:rsidP="00984063">
      <w:pPr>
        <w:jc w:val="both"/>
      </w:pPr>
    </w:p>
    <w:p w:rsidR="00984063" w:rsidRDefault="00984063" w:rsidP="00984063">
      <w:pPr>
        <w:jc w:val="both"/>
      </w:pPr>
    </w:p>
    <w:p w:rsidR="00984063" w:rsidRDefault="00984063" w:rsidP="00984063">
      <w:pPr>
        <w:jc w:val="both"/>
      </w:pPr>
      <w:r>
        <w:t xml:space="preserve">Fokussiert werden dabei insbesondere die syntaktischen Funktionen einzelner Satzbestandteile, d. h. Satzglieder; darüber hinaus kann jedoch auch angegeben werden, welche Wortarten sich vornehmlich in welchem Feld befinden. Hier kann besonders </w:t>
      </w:r>
      <w:r>
        <w:lastRenderedPageBreak/>
        <w:t xml:space="preserve">anschaulich die zentrale (Struktur-)Position des Verbs in verschiedenen Satzzusammenhängen betrachtet werden. </w:t>
      </w:r>
    </w:p>
    <w:p w:rsidR="00984063" w:rsidRDefault="00984063" w:rsidP="00984063">
      <w:pPr>
        <w:jc w:val="both"/>
      </w:pPr>
      <w:r>
        <w:t xml:space="preserve">Im Sinne von „Sprachforscheraufgaben“ können die Schülerinnen und Schüler durch Vorgabe konkreten Sprachmaterials aufgefordert werden, die jeweiligen Besetzungsmöglichkeiten der einzelnen Felder in deutschen Sätzen zu untersuchen (anzufangen wäre hier beispielsweise mit einfachen Aussagesätzen mit einfachen oder zweigeteilten Verben, auszuweiten wäre die Arbeit sodann auf Frage- und vor allem subordinierte Sätze) zu untersuchen und entsprechende „Regeln“ aufzustellen. Auf diese Weise lässt sich durch die gezielte Untersuchung konkreten Sprachmaterials besonders die markante Position finiter (d. h. nach Person und Numerus flektierter) Verben herausarbeiten und so eine syntaktisch basierte Analyse von Wortarten anleiten (die flektierten Verbformen stehen in ‚einfachen‘ Aussagesätzen sowie in ‚einfachen‘ Fragesätzen immer im </w:t>
      </w:r>
      <w:r w:rsidRPr="00DF2D0B">
        <w:rPr>
          <w:i/>
        </w:rPr>
        <w:t>linken Verbfeld</w:t>
      </w:r>
      <w:r>
        <w:t xml:space="preserve"> – bei Aussagesätzen somit an zweiter Position im Satz, da das </w:t>
      </w:r>
      <w:r w:rsidRPr="00DF2D0B">
        <w:rPr>
          <w:i/>
        </w:rPr>
        <w:t>Vorfeld</w:t>
      </w:r>
      <w:r>
        <w:t xml:space="preserve"> i.d.R. besetzt ist, bei Fragesätzen ohne ‚Fragewort‘ an erster Stelle, da das </w:t>
      </w:r>
      <w:r w:rsidRPr="00DF2D0B">
        <w:rPr>
          <w:i/>
        </w:rPr>
        <w:t>Vorfeld</w:t>
      </w:r>
      <w:r>
        <w:t xml:space="preserve"> frei bleibt; in subordinierten Sätzen hingegen wird das Verb von der subordinierenden Konjunktion aus dem </w:t>
      </w:r>
      <w:r w:rsidRPr="00DF2D0B">
        <w:rPr>
          <w:i/>
        </w:rPr>
        <w:t>linken Verbfeld</w:t>
      </w:r>
      <w:r>
        <w:t xml:space="preserve"> ‚verdrängt‘ und in das </w:t>
      </w:r>
      <w:r w:rsidRPr="00DF2D0B">
        <w:rPr>
          <w:i/>
        </w:rPr>
        <w:t>rechte Verbfeld</w:t>
      </w:r>
      <w:r>
        <w:t xml:space="preserve"> geschoben). Dabei bietet es sich beispielsweise an, Sätze bereitzustellen, die mit demselben Wort operieren, das jedoch – je nach Kontext – mal als Verb und mal als Substantiv verwendet wird (auf Klein- und Großschreibung sollte dabei jedoch verzichtet werden), denkbar wären beispielsweise folgende Sätze:</w:t>
      </w:r>
    </w:p>
    <w:p w:rsidR="00984063" w:rsidRDefault="00984063" w:rsidP="00984063">
      <w:pPr>
        <w:jc w:val="both"/>
      </w:pPr>
    </w:p>
    <w:p w:rsidR="00984063" w:rsidRPr="002544BE" w:rsidRDefault="00984063" w:rsidP="00984063">
      <w:pPr>
        <w:ind w:left="284"/>
        <w:jc w:val="both"/>
        <w:rPr>
          <w:i/>
        </w:rPr>
      </w:pPr>
      <w:r w:rsidRPr="002544BE">
        <w:rPr>
          <w:i/>
        </w:rPr>
        <w:t>Das SPIELEN die Kinder immer sehr gerne.</w:t>
      </w:r>
    </w:p>
    <w:p w:rsidR="00984063" w:rsidRPr="002544BE" w:rsidRDefault="00984063" w:rsidP="00984063">
      <w:pPr>
        <w:ind w:left="284"/>
        <w:jc w:val="both"/>
        <w:rPr>
          <w:i/>
        </w:rPr>
      </w:pPr>
      <w:r w:rsidRPr="002544BE">
        <w:rPr>
          <w:i/>
        </w:rPr>
        <w:t>Das SPIELEN gefällt den Jugendlichen unabhängig vom Alter.</w:t>
      </w:r>
    </w:p>
    <w:p w:rsidR="00984063" w:rsidRPr="002544BE" w:rsidRDefault="00984063" w:rsidP="00984063">
      <w:pPr>
        <w:ind w:left="284"/>
        <w:jc w:val="both"/>
        <w:rPr>
          <w:i/>
        </w:rPr>
      </w:pPr>
      <w:r w:rsidRPr="002544BE">
        <w:rPr>
          <w:i/>
        </w:rPr>
        <w:t>Das SPIELEN viele auch noch, wenn sie zu Hause sind.</w:t>
      </w:r>
    </w:p>
    <w:p w:rsidR="00984063" w:rsidRDefault="00984063" w:rsidP="00984063">
      <w:pPr>
        <w:ind w:left="284"/>
        <w:jc w:val="both"/>
        <w:rPr>
          <w:i/>
        </w:rPr>
      </w:pPr>
      <w:r w:rsidRPr="002544BE">
        <w:rPr>
          <w:i/>
        </w:rPr>
        <w:t>Sie streiten sich häufig, auch wenn sie das gerne auch gemeinsam SPIELEN.</w:t>
      </w:r>
    </w:p>
    <w:p w:rsidR="00984063" w:rsidRPr="002544BE" w:rsidRDefault="00984063" w:rsidP="00984063">
      <w:pPr>
        <w:ind w:left="284"/>
        <w:jc w:val="both"/>
        <w:rPr>
          <w:i/>
        </w:rPr>
      </w:pPr>
    </w:p>
    <w:p w:rsidR="00984063" w:rsidRDefault="00984063" w:rsidP="00984063">
      <w:pPr>
        <w:jc w:val="both"/>
      </w:pPr>
      <w:r>
        <w:t>Eine Zuordnung zu den Klassen „Verb“ oder „Substantiv“ kann durch das Einordnen in das topologische Satzmodell erleichtert werden, da so die Sätze gezielt auf finite Verbformen untersucht werden und sodann eine Zuordnung bzw. Einteilung durch Visualisierung unterstützt wird.</w:t>
      </w:r>
    </w:p>
    <w:p w:rsidR="00984063" w:rsidRDefault="00984063" w:rsidP="00984063">
      <w:pPr>
        <w:jc w:val="both"/>
      </w:pPr>
      <w:r>
        <w:t>Ein weiterführender Ansatz ist der Übertrag des topologischen Satzmodells auf Nominalphrasen, um auch hier anhand der jeweiligen Strukturposition einzelner Elemente Hinweise auf die jeweilige Wortart zu erhalten:</w:t>
      </w:r>
    </w:p>
    <w:p w:rsidR="00984063" w:rsidRDefault="00984063" w:rsidP="00984063">
      <w:pPr>
        <w:jc w:val="both"/>
      </w:pPr>
    </w:p>
    <w:tbl>
      <w:tblPr>
        <w:tblStyle w:val="Tabellenraster"/>
        <w:tblW w:w="0" w:type="auto"/>
        <w:jc w:val="center"/>
        <w:tblLook w:val="04A0" w:firstRow="1" w:lastRow="0" w:firstColumn="1" w:lastColumn="0" w:noHBand="0" w:noVBand="1"/>
      </w:tblPr>
      <w:tblGrid>
        <w:gridCol w:w="1882"/>
        <w:gridCol w:w="1817"/>
        <w:gridCol w:w="1785"/>
        <w:gridCol w:w="1818"/>
        <w:gridCol w:w="1758"/>
      </w:tblGrid>
      <w:tr w:rsidR="00984063" w:rsidRPr="009330E6" w:rsidTr="00CA4E63">
        <w:trPr>
          <w:jc w:val="center"/>
        </w:trPr>
        <w:tc>
          <w:tcPr>
            <w:tcW w:w="1955" w:type="dxa"/>
          </w:tcPr>
          <w:p w:rsidR="00984063" w:rsidRPr="009330E6" w:rsidRDefault="00984063" w:rsidP="00CA4E63">
            <w:pPr>
              <w:jc w:val="both"/>
            </w:pPr>
            <w:r w:rsidRPr="009330E6">
              <w:t>präpositionales Feld / Vorfeld</w:t>
            </w:r>
          </w:p>
        </w:tc>
        <w:tc>
          <w:tcPr>
            <w:tcW w:w="1955" w:type="dxa"/>
          </w:tcPr>
          <w:p w:rsidR="00984063" w:rsidRPr="009330E6" w:rsidRDefault="00984063" w:rsidP="00CA4E63">
            <w:pPr>
              <w:jc w:val="both"/>
            </w:pPr>
            <w:r w:rsidRPr="009330E6">
              <w:t>linkes Nominalfeld</w:t>
            </w:r>
          </w:p>
        </w:tc>
        <w:tc>
          <w:tcPr>
            <w:tcW w:w="1956" w:type="dxa"/>
          </w:tcPr>
          <w:p w:rsidR="00984063" w:rsidRPr="009330E6" w:rsidRDefault="00984063" w:rsidP="00CA4E63">
            <w:pPr>
              <w:jc w:val="both"/>
            </w:pPr>
            <w:r w:rsidRPr="009330E6">
              <w:t>nominales Mittelfeld</w:t>
            </w:r>
          </w:p>
        </w:tc>
        <w:tc>
          <w:tcPr>
            <w:tcW w:w="1956" w:type="dxa"/>
          </w:tcPr>
          <w:p w:rsidR="00984063" w:rsidRPr="009330E6" w:rsidRDefault="00984063" w:rsidP="00CA4E63">
            <w:pPr>
              <w:jc w:val="both"/>
            </w:pPr>
            <w:r w:rsidRPr="009330E6">
              <w:t>rechtes Nominalfeld</w:t>
            </w:r>
          </w:p>
        </w:tc>
        <w:tc>
          <w:tcPr>
            <w:tcW w:w="1956" w:type="dxa"/>
          </w:tcPr>
          <w:p w:rsidR="00984063" w:rsidRPr="009330E6" w:rsidRDefault="00984063" w:rsidP="00CA4E63">
            <w:pPr>
              <w:jc w:val="both"/>
            </w:pPr>
            <w:r w:rsidRPr="009330E6">
              <w:t>Nachfeld</w:t>
            </w:r>
          </w:p>
        </w:tc>
      </w:tr>
    </w:tbl>
    <w:p w:rsidR="00984063" w:rsidRDefault="00984063" w:rsidP="00984063">
      <w:pPr>
        <w:jc w:val="both"/>
      </w:pPr>
    </w:p>
    <w:p w:rsidR="00984063" w:rsidRDefault="00984063" w:rsidP="00984063">
      <w:pPr>
        <w:jc w:val="both"/>
      </w:pPr>
      <w:r>
        <w:t>Daran anschließend kann außerdem sehr gut eine gezielte Thematisierung der satzinternen Großschreibung, die nicht als wortartbasiere Eigenschaft von „Nomen“ des Deutschen zu interpretieren, sondern ein syntaktisch begründetes Phänomen darstellt, erfolgen.</w:t>
      </w:r>
    </w:p>
    <w:p w:rsidR="00984063" w:rsidRDefault="00984063" w:rsidP="00984063">
      <w:pPr>
        <w:jc w:val="both"/>
      </w:pPr>
      <w:r>
        <w:t xml:space="preserve">Für entsprechende Ausführungen und Anregungen zur Arbeit mit dem </w:t>
      </w:r>
      <w:proofErr w:type="spellStart"/>
      <w:r w:rsidRPr="006760D6">
        <w:rPr>
          <w:i/>
        </w:rPr>
        <w:t>Stellungsfeldermodell</w:t>
      </w:r>
      <w:proofErr w:type="spellEnd"/>
      <w:r>
        <w:t xml:space="preserve"> sowie dem </w:t>
      </w:r>
      <w:r w:rsidRPr="006760D6">
        <w:rPr>
          <w:i/>
        </w:rPr>
        <w:t>topologischen Satzmodell für Nominalphrasen</w:t>
      </w:r>
      <w:r>
        <w:t xml:space="preserve"> im Unterricht siehe die entsprechenden Aufsätze in dem von Angelika Wöllstein (2015) herausgegebenen Band „</w:t>
      </w:r>
      <w:r w:rsidRPr="00B070AB">
        <w:rPr>
          <w:i/>
        </w:rPr>
        <w:t>Das topologische Modell für die Schule</w:t>
      </w:r>
      <w:r>
        <w:t>“ sowie außerdem entsprechende Ausführungen in Granzow-Emden (2014).</w:t>
      </w:r>
    </w:p>
    <w:p w:rsidR="00984063" w:rsidRDefault="00984063" w:rsidP="00984063">
      <w:pPr>
        <w:jc w:val="both"/>
      </w:pPr>
    </w:p>
    <w:p w:rsidR="00984063" w:rsidRDefault="00984063" w:rsidP="00984063">
      <w:pPr>
        <w:jc w:val="both"/>
      </w:pPr>
      <w:r>
        <w:t>Eine derart systemorientierte Untersuchung könnte außerdem, anknüpfend an die vorliegende Aufgabe, mit Fantasiesätzen durchgeführt werden. Die Verwendung ausgedachter „</w:t>
      </w:r>
      <w:r w:rsidRPr="00FD4B2D">
        <w:t>Fantasiewörter</w:t>
      </w:r>
      <w:r>
        <w:t xml:space="preserve">“, die semantisch keinen Sinn ergeben bzw. über keine feste Semantik verfügen, in morphologischer wie syntaktischer Hinsicht aber an die Regeln der deutschen Sprache anknüpfen, unterstützt die Lernenden dabei, bei der Sprachbetrachtung von einer rein semantischen Ebene zu abstrahieren und sich allein auf sprachsystematische Besonderheiten zu konzentrieren. </w:t>
      </w:r>
    </w:p>
    <w:p w:rsidR="00984063" w:rsidRDefault="00984063" w:rsidP="00984063">
      <w:pPr>
        <w:jc w:val="both"/>
      </w:pPr>
      <w:r>
        <w:lastRenderedPageBreak/>
        <w:t>Denkbar ist für eine vertiefende Betrachtung bzw. kritische Reflexion auch die Konfrontation mit Fantasietexten, die lediglich in einem Merkmal (Syntax oder Morphologie) der deutschen Sprache folgen und daher zu einer Irritation bei der Bestimmung von Wortarten führen können (wenn beispielsweise auf Grundlage der Betrachtung morphologischer Merkmale die Zuordnung zu einer bestimmten Wortart naheliegt, während die Syntax dieser Zuordnung jedoch wiederspricht).</w:t>
      </w:r>
    </w:p>
    <w:p w:rsidR="00984063" w:rsidRDefault="00984063" w:rsidP="0001250A">
      <w:pPr>
        <w:jc w:val="both"/>
      </w:pPr>
      <w:r>
        <w:t xml:space="preserve">Auch können die Schülerinnen und Schüler dazu aufgefordert werden, selbst Fantasietexte unter Berücksichtigung für das Deutsche typischer syntaktischer und morphologischer Eigenschaften verschiedener Wortarten zu verfassen. Diese werden sodann in Partnerarbeit ausgetauscht und vom jeweiligen Partner bzw. der jeweiligen Partnerin hinsichtlich der verwendeten Wortarten untersucht. Denkbar ist zudem die Weiterarbeit im Unterricht unter Berücksichtigung </w:t>
      </w:r>
      <w:proofErr w:type="gramStart"/>
      <w:r>
        <w:t xml:space="preserve">des </w:t>
      </w:r>
      <w:r w:rsidRPr="00B86275">
        <w:rPr>
          <w:i/>
        </w:rPr>
        <w:t>Esperanto</w:t>
      </w:r>
      <w:proofErr w:type="gramEnd"/>
      <w:r>
        <w:t xml:space="preserve"> als einer künstlichen, allen Schülerinnen und Schülern gleichermaßen unbekannten Sprache mit einer sehr einfachen Grammatik, die jedoch von dem System der deutschen Grammatik deutlich abweicht. Durch den Vergleich der deutschen Grammatik mit der </w:t>
      </w:r>
      <w:proofErr w:type="gramStart"/>
      <w:r>
        <w:t xml:space="preserve">des </w:t>
      </w:r>
      <w:r w:rsidRPr="00D91A54">
        <w:rPr>
          <w:i/>
        </w:rPr>
        <w:t>Esperanto</w:t>
      </w:r>
      <w:proofErr w:type="gramEnd"/>
      <w:r>
        <w:t xml:space="preserve"> können ebenfalls Reflexionsprozesse über die fremde Sprache initiiert werden, die sodann in eine Reflexion der deutschen Grammatik überleiten. Hier können zum Beispiel – anknüpfend an Teilaufgabe 3.5 – Flexions- und Reflexions</w:t>
      </w:r>
      <w:r w:rsidR="0001250A">
        <w:t>-</w:t>
      </w:r>
      <w:proofErr w:type="spellStart"/>
      <w:r>
        <w:t>aufgaben</w:t>
      </w:r>
      <w:proofErr w:type="spellEnd"/>
      <w:r>
        <w:t xml:space="preserve"> gestellt werden:</w:t>
      </w:r>
    </w:p>
    <w:p w:rsidR="00984063" w:rsidRDefault="00984063" w:rsidP="00984063"/>
    <w:p w:rsidR="00984063" w:rsidRDefault="00984063" w:rsidP="00984063">
      <w:r w:rsidRPr="00984063">
        <w:rPr>
          <w:noProof/>
          <w:lang w:val="en-US" w:eastAsia="en-US"/>
        </w:rPr>
        <w:drawing>
          <wp:inline distT="0" distB="0" distL="0" distR="0">
            <wp:extent cx="4504055" cy="3589655"/>
            <wp:effectExtent l="0" t="0" r="0" b="0"/>
            <wp:docPr id="2" name="Inline Text Wrapp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 Text Wrapping 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4055" cy="3589655"/>
                    </a:xfrm>
                    <a:prstGeom prst="rect">
                      <a:avLst/>
                    </a:prstGeom>
                    <a:noFill/>
                    <a:ln>
                      <a:noFill/>
                    </a:ln>
                  </pic:spPr>
                </pic:pic>
              </a:graphicData>
            </a:graphic>
          </wp:inline>
        </w:drawing>
      </w:r>
    </w:p>
    <w:p w:rsidR="00984063" w:rsidRDefault="00984063" w:rsidP="00984063"/>
    <w:p w:rsidR="00984063" w:rsidRPr="006077B6" w:rsidRDefault="00984063" w:rsidP="0001250A">
      <w:pPr>
        <w:jc w:val="both"/>
      </w:pPr>
      <w:r>
        <w:t>Daran anschließend bietet sich außerdem das Durchführen eigener Unterrichtsprojekte zum Erfinden einer eigenen Grammatik an – dies würde an die Schülerwelt anknüpfen, indem beispielsweise ein fantastischer Film (z. B. „</w:t>
      </w:r>
      <w:r w:rsidRPr="00D8289A">
        <w:rPr>
          <w:i/>
        </w:rPr>
        <w:t>Avatar</w:t>
      </w:r>
      <w:r>
        <w:t xml:space="preserve">“) herangezogen und als Ausgangspunkt gewählt wird. Durch die schülerseitige Entwicklung einer Grammatik werden sprachreflexive Kompetenzen durch induktives Vorgehen aufgebaut, und die Schülerinnen und Schüler können die Inhalte konstruktiv mitgestalten. Dieses Projekt stellt einen explorativen und problemorientierten Zugang zur Grammatik dar und knüpft an das implizite Wissen an. Grammatik wird auf diese Weise explizit behandelt, um das implizite Wissen zu erweitern (vgl. zu dieser Projektidee Zepter 2015). Solche Aufgaben sind von besonderem didaktischem Wert, da mittels der (weitgehend) eigenständigen Reflexion sprachliche Systematiken der eigenen Erstsprache nachvollziehbar und letztendlich beherrschbar gemacht werden. Für diesbezüglich vertiefende und weiterführende Literatur siehe </w:t>
      </w:r>
      <w:r w:rsidR="006077B6" w:rsidRPr="006077B6">
        <w:t>(</w:t>
      </w:r>
      <w:r w:rsidR="006077B6">
        <w:t xml:space="preserve">vgl. </w:t>
      </w:r>
      <w:r w:rsidRPr="006077B6">
        <w:t>Zepter</w:t>
      </w:r>
      <w:r w:rsidR="006077B6">
        <w:t>,</w:t>
      </w:r>
      <w:r w:rsidRPr="006077B6">
        <w:t xml:space="preserve"> 2015</w:t>
      </w:r>
      <w:r w:rsidR="006077B6" w:rsidRPr="006077B6">
        <w:t>)</w:t>
      </w:r>
      <w:r w:rsidRPr="006077B6">
        <w:t xml:space="preserve"> </w:t>
      </w:r>
    </w:p>
    <w:p w:rsidR="00984063" w:rsidRDefault="00984063" w:rsidP="00984063">
      <w:pPr>
        <w:jc w:val="both"/>
      </w:pPr>
    </w:p>
    <w:p w:rsidR="00984063" w:rsidRPr="00087518" w:rsidRDefault="00984063" w:rsidP="00984063">
      <w:pPr>
        <w:jc w:val="both"/>
        <w:rPr>
          <w:i/>
        </w:rPr>
      </w:pPr>
      <w:r>
        <w:lastRenderedPageBreak/>
        <w:t xml:space="preserve">Zudem ist es denkbar, weiterführende Aufgaben zur pragmatischen Sprachbetrachtung anzuschließen. Diesbezüglich bietet es sich an, besonders das soziale Moment von Sprache sowie ihre Bedeutung im konkreten Sprachgebrauch zu thematisieren. In diesem Zusammenhang kann in Partner- oder Gruppenarbeit vor allem die folgende Fragestellung leitend sein: </w:t>
      </w:r>
      <w:r>
        <w:rPr>
          <w:i/>
        </w:rPr>
        <w:t>„Könnten</w:t>
      </w:r>
      <w:r w:rsidRPr="0029273A">
        <w:rPr>
          <w:i/>
        </w:rPr>
        <w:t xml:space="preserve"> zwei oder drei Menschen ihre eigene </w:t>
      </w:r>
      <w:r>
        <w:rPr>
          <w:i/>
        </w:rPr>
        <w:t xml:space="preserve">Fantasie- oder Privatsprache </w:t>
      </w:r>
      <w:r w:rsidRPr="0029273A">
        <w:rPr>
          <w:i/>
        </w:rPr>
        <w:t>erfinden</w:t>
      </w:r>
      <w:r>
        <w:rPr>
          <w:i/>
        </w:rPr>
        <w:t xml:space="preserve"> und auch im Alltag so </w:t>
      </w:r>
      <w:r w:rsidRPr="00EF5FAD">
        <w:rPr>
          <w:i/>
        </w:rPr>
        <w:t>kommunizieren</w:t>
      </w:r>
      <w:r w:rsidRPr="00B11A35">
        <w:rPr>
          <w:i/>
        </w:rPr>
        <w:t>?</w:t>
      </w:r>
      <w:r w:rsidRPr="00087518">
        <w:rPr>
          <w:i/>
        </w:rPr>
        <w:t xml:space="preserve"> Was wäre dafür nötig? Auf welche Schwierigkeiten könnten sie stoßen? Würde man ihre Muttersprache anhand der neuen Sprache wohl immer noch erkennen können?“</w:t>
      </w:r>
    </w:p>
    <w:p w:rsidR="00984063" w:rsidRDefault="00984063" w:rsidP="00984063">
      <w:pPr>
        <w:jc w:val="both"/>
      </w:pPr>
      <w:r>
        <w:t>Entsprechende Reflexionsaufgaben könnten darauf zielen, zu erkennen, dass zum Beispiel die Bedeutung sprachlicher Zeichen einem gesellschaftlich konventionalisierten Gebrauch unterliegt, wenngleich es sich beim einzelnen sprachlichen Zeichen eigentlich um arbiträres, willkürliches Zeichenmaterial handelt. Die Personen müssten zum Beispiel auf einen gemeinsamen Zeichenvorrat zurückgreifen können, der aber nur unter Rückgriff der etablierten Semantik der Ursprungssprache aufgebaut werden kann.</w:t>
      </w:r>
    </w:p>
    <w:p w:rsidR="00984063" w:rsidRDefault="00984063" w:rsidP="00984063">
      <w:pPr>
        <w:jc w:val="both"/>
      </w:pPr>
    </w:p>
    <w:p w:rsidR="00984063" w:rsidRPr="00A80184" w:rsidRDefault="00984063" w:rsidP="00984063">
      <w:pPr>
        <w:rPr>
          <w:rFonts w:cs="Arial"/>
          <w:szCs w:val="22"/>
        </w:rPr>
      </w:pPr>
      <w:r>
        <w:t xml:space="preserve">Interessant wäre auch ein Exkurs zum </w:t>
      </w:r>
      <w:r w:rsidRPr="00087518">
        <w:rPr>
          <w:i/>
        </w:rPr>
        <w:t>Elbischen</w:t>
      </w:r>
      <w:r>
        <w:rPr>
          <w:i/>
        </w:rPr>
        <w:t xml:space="preserve"> </w:t>
      </w:r>
      <w:r>
        <w:t xml:space="preserve">von </w:t>
      </w:r>
      <w:r w:rsidRPr="00A80184">
        <w:rPr>
          <w:rFonts w:cs="Arial"/>
          <w:color w:val="333333"/>
          <w:szCs w:val="22"/>
          <w:shd w:val="clear" w:color="auto" w:fill="FFFFFF"/>
        </w:rPr>
        <w:t>J.R.R. Tolkien, zu dem es mittlerweile auch eine Grammatik gibt (vgl. Pesch</w:t>
      </w:r>
      <w:r w:rsidR="006077B6">
        <w:rPr>
          <w:rFonts w:cs="Arial"/>
          <w:color w:val="333333"/>
          <w:szCs w:val="22"/>
          <w:shd w:val="clear" w:color="auto" w:fill="FFFFFF"/>
        </w:rPr>
        <w:t>, 2003</w:t>
      </w:r>
      <w:r w:rsidRPr="00A80184">
        <w:rPr>
          <w:rFonts w:cs="Arial"/>
          <w:color w:val="333333"/>
          <w:szCs w:val="22"/>
          <w:shd w:val="clear" w:color="auto" w:fill="FFFFFF"/>
        </w:rPr>
        <w:t>).</w:t>
      </w:r>
    </w:p>
    <w:p w:rsidR="00984063" w:rsidRDefault="00984063" w:rsidP="005A6D89">
      <w:pPr>
        <w:rPr>
          <w:sz w:val="24"/>
        </w:rPr>
      </w:pPr>
    </w:p>
    <w:p w:rsidR="0084154F" w:rsidRPr="004D55DB" w:rsidRDefault="0084154F" w:rsidP="005A6D89">
      <w:pPr>
        <w:rPr>
          <w:b/>
          <w:sz w:val="24"/>
        </w:rPr>
      </w:pPr>
      <w:r w:rsidRPr="004D55DB">
        <w:rPr>
          <w:b/>
          <w:sz w:val="24"/>
        </w:rPr>
        <w:t>Literatur:</w:t>
      </w:r>
    </w:p>
    <w:p w:rsidR="00C74C87" w:rsidRDefault="00C74C87" w:rsidP="00C74C87">
      <w:pPr>
        <w:pStyle w:val="Flietext"/>
        <w:spacing w:before="60" w:after="60"/>
        <w:rPr>
          <w:rFonts w:cs="Arial"/>
        </w:rPr>
      </w:pPr>
      <w:r>
        <w:rPr>
          <w:rFonts w:cs="Arial"/>
        </w:rPr>
        <w:t>Granzow-Emden, M</w:t>
      </w:r>
      <w:r w:rsidR="00D77252">
        <w:rPr>
          <w:rFonts w:cs="Arial"/>
        </w:rPr>
        <w:t>.</w:t>
      </w:r>
      <w:r>
        <w:rPr>
          <w:rFonts w:cs="Arial"/>
        </w:rPr>
        <w:t xml:space="preserve"> (2014)</w:t>
      </w:r>
      <w:r w:rsidR="00D77252">
        <w:rPr>
          <w:rFonts w:cs="Arial"/>
        </w:rPr>
        <w:t>.</w:t>
      </w:r>
      <w:r>
        <w:rPr>
          <w:rFonts w:cs="Arial"/>
        </w:rPr>
        <w:t xml:space="preserve"> </w:t>
      </w:r>
      <w:r w:rsidRPr="00D77252">
        <w:rPr>
          <w:rFonts w:cs="Arial"/>
          <w:i/>
        </w:rPr>
        <w:t>Deutsche Grammatik verstehen und unterrichten</w:t>
      </w:r>
      <w:r>
        <w:rPr>
          <w:rFonts w:cs="Arial"/>
        </w:rPr>
        <w:t>. Unter Mitarbeit von Johannes Luber. 2., überarbeitete Auflage. Narr.</w:t>
      </w:r>
    </w:p>
    <w:p w:rsidR="0084154F" w:rsidRDefault="0084154F" w:rsidP="005A6D89">
      <w:pPr>
        <w:rPr>
          <w:szCs w:val="22"/>
        </w:rPr>
      </w:pPr>
      <w:r w:rsidRPr="006077B6">
        <w:rPr>
          <w:szCs w:val="22"/>
        </w:rPr>
        <w:t>Pesch, H. (</w:t>
      </w:r>
      <w:r w:rsidR="006077B6" w:rsidRPr="006077B6">
        <w:rPr>
          <w:szCs w:val="22"/>
        </w:rPr>
        <w:t>2003</w:t>
      </w:r>
      <w:r w:rsidRPr="006077B6">
        <w:rPr>
          <w:szCs w:val="22"/>
        </w:rPr>
        <w:t>)</w:t>
      </w:r>
      <w:r w:rsidR="00D77252">
        <w:rPr>
          <w:szCs w:val="22"/>
        </w:rPr>
        <w:t>.</w:t>
      </w:r>
      <w:r w:rsidRPr="006077B6">
        <w:rPr>
          <w:szCs w:val="22"/>
        </w:rPr>
        <w:t xml:space="preserve"> </w:t>
      </w:r>
      <w:r w:rsidRPr="00D77252">
        <w:rPr>
          <w:i/>
          <w:szCs w:val="22"/>
        </w:rPr>
        <w:t>Elbisch. Grammatik, Schrift und Wörterbuch der Elben-Sprache von J.R.R. Tolkien.</w:t>
      </w:r>
      <w:r w:rsidR="006077B6" w:rsidRPr="006077B6">
        <w:rPr>
          <w:szCs w:val="22"/>
        </w:rPr>
        <w:t xml:space="preserve"> Bastei Lübbe.</w:t>
      </w:r>
    </w:p>
    <w:p w:rsidR="00C74C87" w:rsidRDefault="00C74C87" w:rsidP="00C74C87">
      <w:r>
        <w:rPr>
          <w:rFonts w:cs="Arial"/>
        </w:rPr>
        <w:t>Wöllstein, A</w:t>
      </w:r>
      <w:r w:rsidR="00D77252">
        <w:rPr>
          <w:rFonts w:cs="Arial"/>
        </w:rPr>
        <w:t>.</w:t>
      </w:r>
      <w:r w:rsidR="00D77252" w:rsidRPr="00D77252">
        <w:rPr>
          <w:rFonts w:cs="Arial"/>
        </w:rPr>
        <w:t xml:space="preserve"> </w:t>
      </w:r>
      <w:r w:rsidR="00D77252">
        <w:rPr>
          <w:rFonts w:cs="Arial"/>
        </w:rPr>
        <w:t>(Hrsg.)</w:t>
      </w:r>
      <w:r>
        <w:rPr>
          <w:rFonts w:cs="Arial"/>
        </w:rPr>
        <w:t xml:space="preserve"> (2015)</w:t>
      </w:r>
      <w:r w:rsidR="00D77252">
        <w:rPr>
          <w:rFonts w:cs="Arial"/>
        </w:rPr>
        <w:t>.</w:t>
      </w:r>
      <w:r>
        <w:rPr>
          <w:rFonts w:cs="Arial"/>
        </w:rPr>
        <w:t xml:space="preserve"> </w:t>
      </w:r>
      <w:r w:rsidRPr="00D77252">
        <w:rPr>
          <w:rFonts w:cs="Arial"/>
          <w:i/>
        </w:rPr>
        <w:t>Das topologische Modell für die Schule</w:t>
      </w:r>
      <w:r>
        <w:rPr>
          <w:rFonts w:cs="Arial"/>
        </w:rPr>
        <w:t>. Schneider Hohengehren.</w:t>
      </w:r>
    </w:p>
    <w:p w:rsidR="006077B6" w:rsidRPr="006077B6" w:rsidRDefault="006077B6" w:rsidP="005A6D89">
      <w:pPr>
        <w:rPr>
          <w:sz w:val="24"/>
        </w:rPr>
      </w:pPr>
      <w:r w:rsidRPr="006077B6">
        <w:t>Zepter</w:t>
      </w:r>
      <w:r>
        <w:t>,</w:t>
      </w:r>
      <w:r w:rsidRPr="006077B6">
        <w:t xml:space="preserve"> A. (2015)</w:t>
      </w:r>
      <w:r w:rsidR="00D77252">
        <w:t>.</w:t>
      </w:r>
      <w:r w:rsidRPr="006077B6">
        <w:t xml:space="preserve"> </w:t>
      </w:r>
      <w:r w:rsidRPr="00D77252">
        <w:rPr>
          <w:i/>
        </w:rPr>
        <w:t>Systemorientierter Grammatikunterricht. Sprachen erfinden und Grammatik</w:t>
      </w:r>
      <w:bookmarkStart w:id="0" w:name="_GoBack"/>
      <w:bookmarkEnd w:id="0"/>
      <w:r w:rsidRPr="00D77252">
        <w:rPr>
          <w:i/>
        </w:rPr>
        <w:t xml:space="preserve"> entdecken</w:t>
      </w:r>
      <w:r w:rsidRPr="006077B6">
        <w:t>.</w:t>
      </w:r>
      <w:r>
        <w:t xml:space="preserve"> In: </w:t>
      </w:r>
      <w:r w:rsidRPr="00D77252">
        <w:rPr>
          <w:i/>
        </w:rPr>
        <w:t>Linguistische Berichte</w:t>
      </w:r>
      <w:r w:rsidR="00D77252">
        <w:rPr>
          <w:i/>
        </w:rPr>
        <w:t xml:space="preserve">, </w:t>
      </w:r>
      <w:r w:rsidR="00D77252" w:rsidRPr="00D77252">
        <w:t>Heft</w:t>
      </w:r>
      <w:r w:rsidRPr="00D77252">
        <w:t xml:space="preserve"> </w:t>
      </w:r>
      <w:r>
        <w:t>244</w:t>
      </w:r>
      <w:r w:rsidR="00D77252">
        <w:t>,</w:t>
      </w:r>
      <w:r>
        <w:t xml:space="preserve"> 385-408.</w:t>
      </w:r>
    </w:p>
    <w:sectPr w:rsidR="006077B6" w:rsidRPr="006077B6" w:rsidSect="00D60A6F">
      <w:headerReference w:type="even" r:id="rId9"/>
      <w:headerReference w:type="default" r:id="rId10"/>
      <w:footerReference w:type="even" r:id="rId11"/>
      <w:footerReference w:type="default" r:id="rId12"/>
      <w:headerReference w:type="first" r:id="rId13"/>
      <w:footerReference w:type="first" r:id="rId14"/>
      <w:pgSz w:w="11906" w:h="16838"/>
      <w:pgMar w:top="1134" w:right="1418"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4063" w:rsidRDefault="00984063">
      <w:r>
        <w:separator/>
      </w:r>
    </w:p>
  </w:endnote>
  <w:endnote w:type="continuationSeparator" w:id="0">
    <w:p w:rsidR="00984063" w:rsidRDefault="00984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BDA9F96-A8F4-42E8-822F-1E9ED869487A}"/>
  </w:font>
  <w:font w:name="Calibri Light">
    <w:panose1 w:val="020F0302020204030204"/>
    <w:charset w:val="00"/>
    <w:family w:val="swiss"/>
    <w:pitch w:val="variable"/>
    <w:sig w:usb0="E4002EFF" w:usb1="C200247B" w:usb2="00000009" w:usb3="00000000" w:csb0="000001FF" w:csb1="00000000"/>
    <w:embedRegular r:id="rId2" w:fontKey="{4670CDBA-4E94-4D41-8606-13F8E19A0C2C}"/>
  </w:font>
  <w:font w:name="Calibri">
    <w:panose1 w:val="020F0502020204030204"/>
    <w:charset w:val="00"/>
    <w:family w:val="swiss"/>
    <w:pitch w:val="variable"/>
    <w:sig w:usb0="E4002EFF" w:usb1="C200247B" w:usb2="00000009" w:usb3="00000000" w:csb0="000001FF" w:csb1="00000000"/>
    <w:embedRegular r:id="rId3" w:fontKey="{6F6D69E3-329A-47B6-83BC-0AAFB9A264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34C" w:rsidRDefault="0059034C" w:rsidP="00C93D69">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59034C" w:rsidRDefault="0059034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34C" w:rsidRDefault="0059034C" w:rsidP="001E413A">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rsidR="0059034C" w:rsidRDefault="0059034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1401675"/>
      <w:docPartObj>
        <w:docPartGallery w:val="Page Numbers (Bottom of Page)"/>
        <w:docPartUnique/>
      </w:docPartObj>
    </w:sdtPr>
    <w:sdtContent>
      <w:p w:rsidR="004D55DB" w:rsidRDefault="004D55DB">
        <w:pPr>
          <w:pStyle w:val="Fuzeile"/>
          <w:jc w:val="center"/>
        </w:pPr>
        <w:r>
          <w:fldChar w:fldCharType="begin"/>
        </w:r>
        <w:r>
          <w:instrText>PAGE   \* MERGEFORMAT</w:instrText>
        </w:r>
        <w:r>
          <w:fldChar w:fldCharType="separate"/>
        </w:r>
        <w:r>
          <w:t>2</w:t>
        </w:r>
        <w:r>
          <w:fldChar w:fldCharType="end"/>
        </w:r>
      </w:p>
    </w:sdtContent>
  </w:sdt>
  <w:p w:rsidR="004D55DB" w:rsidRDefault="004D55D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4063" w:rsidRDefault="00984063">
      <w:r>
        <w:separator/>
      </w:r>
    </w:p>
  </w:footnote>
  <w:footnote w:type="continuationSeparator" w:id="0">
    <w:p w:rsidR="00984063" w:rsidRDefault="00984063">
      <w:r>
        <w:continuationSeparator/>
      </w:r>
    </w:p>
  </w:footnote>
  <w:footnote w:id="1">
    <w:p w:rsidR="00917315" w:rsidRDefault="00917315" w:rsidP="00137ABE">
      <w:pPr>
        <w:jc w:val="both"/>
      </w:pPr>
      <w:r w:rsidRPr="00137ABE">
        <w:rPr>
          <w:rStyle w:val="Funotenzeichen"/>
          <w:sz w:val="16"/>
          <w:szCs w:val="16"/>
        </w:rPr>
        <w:footnoteRef/>
      </w:r>
      <w:r w:rsidRPr="00137ABE">
        <w:rPr>
          <w:sz w:val="16"/>
          <w:szCs w:val="16"/>
        </w:rPr>
        <w:t xml:space="preserve"> </w:t>
      </w:r>
      <w:r w:rsidRPr="00917315">
        <w:rPr>
          <w:sz w:val="16"/>
          <w:szCs w:val="16"/>
        </w:rPr>
        <w:t>Bildungsstandards für das Fach Deutsch. Mittlerer Schulabschluss (MSA) Beschluss der Kultusministerkonferenz vom 04.12.2003, verfügbar unter: https://www.kmk.org/fileadmin/Dateien/veroeffentlichungen_beschluesse/2003/2003_12_04-BS-Deutsch-MS.pdf (Abgerufen am 30.1.2025) und Hauptschulabschluss (HSA): Beschluss der Kultusministerkonferenz vom 15.10.2004, verfügbar unter: https://www.kmk.org/fileadmin/Dateien/veroeffentlichungen_beschluesse/2004/2004_10_15-Bildungsstandards-Deutsch-Haupt.pdf (Abgerufen am 30.1.2025)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5DB" w:rsidRDefault="004D55D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5DB" w:rsidRDefault="004D55D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34C" w:rsidRDefault="00984063">
    <w:pPr>
      <w:pStyle w:val="Kopfzeile"/>
    </w:pPr>
    <w:r>
      <w:rPr>
        <w:noProof/>
      </w:rPr>
      <w:drawing>
        <wp:anchor distT="0" distB="0" distL="114300" distR="114300" simplePos="0" relativeHeight="251657728" behindDoc="0" locked="0" layoutInCell="1" allowOverlap="1">
          <wp:simplePos x="0" y="0"/>
          <wp:positionH relativeFrom="page">
            <wp:posOffset>720090</wp:posOffset>
          </wp:positionH>
          <wp:positionV relativeFrom="page">
            <wp:posOffset>262890</wp:posOffset>
          </wp:positionV>
          <wp:extent cx="4105275" cy="269875"/>
          <wp:effectExtent l="0" t="0" r="0" b="0"/>
          <wp:wrapTopAndBottom/>
          <wp:docPr id="1" name="Bild 1" descr="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
                  <pic:cNvPicPr>
                    <a:picLocks noChangeAspect="1" noChangeArrowheads="1"/>
                  </pic:cNvPicPr>
                </pic:nvPicPr>
                <pic:blipFill>
                  <a:blip r:embed="rId1">
                    <a:grayscl/>
                    <a:extLst>
                      <a:ext uri="{28A0092B-C50C-407E-A947-70E740481C1C}">
                        <a14:useLocalDpi xmlns:a14="http://schemas.microsoft.com/office/drawing/2010/main" val="0"/>
                      </a:ext>
                    </a:extLst>
                  </a:blip>
                  <a:srcRect l="15749" t="10010" r="793"/>
                  <a:stretch>
                    <a:fillRect/>
                  </a:stretch>
                </pic:blipFill>
                <pic:spPr bwMode="auto">
                  <a:xfrm>
                    <a:off x="0" y="0"/>
                    <a:ext cx="4105275" cy="269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662EE9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6A7199"/>
    <w:multiLevelType w:val="hybridMultilevel"/>
    <w:tmpl w:val="5694F5A0"/>
    <w:lvl w:ilvl="0" w:tplc="521ECDDE">
      <w:start w:val="1"/>
      <w:numFmt w:val="lowerLetter"/>
      <w:pStyle w:val="Nummerierung2"/>
      <w:lvlText w:val="%1)"/>
      <w:lvlJc w:val="left"/>
      <w:pPr>
        <w:tabs>
          <w:tab w:val="num" w:pos="340"/>
        </w:tabs>
        <w:ind w:left="68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11C55FF0"/>
    <w:multiLevelType w:val="multilevel"/>
    <w:tmpl w:val="2F786092"/>
    <w:lvl w:ilvl="0">
      <w:start w:val="1"/>
      <w:numFmt w:val="bullet"/>
      <w:lvlText w:val=""/>
      <w:lvlJc w:val="left"/>
      <w:pPr>
        <w:tabs>
          <w:tab w:val="num" w:pos="340"/>
        </w:tabs>
        <w:ind w:left="340" w:hanging="340"/>
      </w:pPr>
      <w:rPr>
        <w:rFonts w:ascii="Symbol" w:hAnsi="Symbol" w:hint="default"/>
        <w:b w:val="0"/>
        <w:i w:val="0"/>
        <w:color w:val="auto"/>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20C71F3A"/>
    <w:multiLevelType w:val="hybridMultilevel"/>
    <w:tmpl w:val="4BB25A0E"/>
    <w:lvl w:ilvl="0" w:tplc="0BCE4CF8">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C4D073D"/>
    <w:multiLevelType w:val="hybridMultilevel"/>
    <w:tmpl w:val="DA547F7C"/>
    <w:lvl w:ilvl="0" w:tplc="8A8ECE0E">
      <w:start w:val="1"/>
      <w:numFmt w:val="decimal"/>
      <w:pStyle w:val="Nummerierung"/>
      <w:lvlText w:val="%1."/>
      <w:lvlJc w:val="left"/>
      <w:pPr>
        <w:tabs>
          <w:tab w:val="num" w:pos="34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473917FE"/>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75AD4B94"/>
    <w:multiLevelType w:val="hybridMultilevel"/>
    <w:tmpl w:val="553071C0"/>
    <w:lvl w:ilvl="0" w:tplc="F41A3256">
      <w:numFmt w:val="bullet"/>
      <w:pStyle w:val="Aufzhlung"/>
      <w:lvlText w:val="-"/>
      <w:lvlJc w:val="left"/>
      <w:pPr>
        <w:ind w:left="360" w:hanging="360"/>
      </w:pPr>
      <w:rPr>
        <w:rFonts w:ascii="Arial" w:eastAsia="Times New Roman" w:hAnsi="Arial" w:cs="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6"/>
  </w:num>
  <w:num w:numId="4">
    <w:abstractNumId w:val="4"/>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063"/>
    <w:rsid w:val="0001250A"/>
    <w:rsid w:val="00036691"/>
    <w:rsid w:val="00047F6F"/>
    <w:rsid w:val="0006149C"/>
    <w:rsid w:val="00081387"/>
    <w:rsid w:val="000B00DB"/>
    <w:rsid w:val="000B4812"/>
    <w:rsid w:val="000D2DB0"/>
    <w:rsid w:val="000D5D22"/>
    <w:rsid w:val="000E6666"/>
    <w:rsid w:val="000E697C"/>
    <w:rsid w:val="001048AC"/>
    <w:rsid w:val="00117BA5"/>
    <w:rsid w:val="00121C99"/>
    <w:rsid w:val="00122EF9"/>
    <w:rsid w:val="001323FA"/>
    <w:rsid w:val="00137ABE"/>
    <w:rsid w:val="00143DF0"/>
    <w:rsid w:val="00173A9F"/>
    <w:rsid w:val="00176D67"/>
    <w:rsid w:val="001C20E7"/>
    <w:rsid w:val="001C55D0"/>
    <w:rsid w:val="001E413A"/>
    <w:rsid w:val="001E6C75"/>
    <w:rsid w:val="001F5666"/>
    <w:rsid w:val="001F5E68"/>
    <w:rsid w:val="00203D18"/>
    <w:rsid w:val="00226C04"/>
    <w:rsid w:val="0026784F"/>
    <w:rsid w:val="00276A48"/>
    <w:rsid w:val="002902AF"/>
    <w:rsid w:val="002A3F85"/>
    <w:rsid w:val="002B22BB"/>
    <w:rsid w:val="00304067"/>
    <w:rsid w:val="00304DCD"/>
    <w:rsid w:val="003172B8"/>
    <w:rsid w:val="00325775"/>
    <w:rsid w:val="00354F25"/>
    <w:rsid w:val="003651DD"/>
    <w:rsid w:val="003751AF"/>
    <w:rsid w:val="00375D62"/>
    <w:rsid w:val="0039244B"/>
    <w:rsid w:val="003A496B"/>
    <w:rsid w:val="003B3A83"/>
    <w:rsid w:val="003C1D06"/>
    <w:rsid w:val="003C5441"/>
    <w:rsid w:val="003C7D61"/>
    <w:rsid w:val="003D50E7"/>
    <w:rsid w:val="003D6D24"/>
    <w:rsid w:val="003D7948"/>
    <w:rsid w:val="00426CE8"/>
    <w:rsid w:val="00432124"/>
    <w:rsid w:val="00455169"/>
    <w:rsid w:val="00460D51"/>
    <w:rsid w:val="00461D1A"/>
    <w:rsid w:val="004A0EB1"/>
    <w:rsid w:val="004D1DCE"/>
    <w:rsid w:val="004D54E8"/>
    <w:rsid w:val="004D55DB"/>
    <w:rsid w:val="004F4AE1"/>
    <w:rsid w:val="004F70C4"/>
    <w:rsid w:val="0050377F"/>
    <w:rsid w:val="00510900"/>
    <w:rsid w:val="00515C4D"/>
    <w:rsid w:val="005163C7"/>
    <w:rsid w:val="00542EEE"/>
    <w:rsid w:val="00566351"/>
    <w:rsid w:val="00573AB9"/>
    <w:rsid w:val="0059034C"/>
    <w:rsid w:val="00593590"/>
    <w:rsid w:val="005A6D89"/>
    <w:rsid w:val="005D22C4"/>
    <w:rsid w:val="006077B6"/>
    <w:rsid w:val="0061709D"/>
    <w:rsid w:val="006330E5"/>
    <w:rsid w:val="00666933"/>
    <w:rsid w:val="00687ABE"/>
    <w:rsid w:val="00692E69"/>
    <w:rsid w:val="006F52F5"/>
    <w:rsid w:val="00724400"/>
    <w:rsid w:val="00737AB1"/>
    <w:rsid w:val="00753D68"/>
    <w:rsid w:val="00756CB3"/>
    <w:rsid w:val="007A336F"/>
    <w:rsid w:val="007A3D94"/>
    <w:rsid w:val="007A45ED"/>
    <w:rsid w:val="007B7BC3"/>
    <w:rsid w:val="007C729F"/>
    <w:rsid w:val="007D4262"/>
    <w:rsid w:val="007E2F93"/>
    <w:rsid w:val="00803E25"/>
    <w:rsid w:val="008051D6"/>
    <w:rsid w:val="00834EDF"/>
    <w:rsid w:val="0084154F"/>
    <w:rsid w:val="00870C2F"/>
    <w:rsid w:val="00871097"/>
    <w:rsid w:val="0087731D"/>
    <w:rsid w:val="00877776"/>
    <w:rsid w:val="008839DF"/>
    <w:rsid w:val="0088770C"/>
    <w:rsid w:val="008A232F"/>
    <w:rsid w:val="008A3DCE"/>
    <w:rsid w:val="008A71E5"/>
    <w:rsid w:val="008B6AC4"/>
    <w:rsid w:val="008D109B"/>
    <w:rsid w:val="008F090C"/>
    <w:rsid w:val="009050C7"/>
    <w:rsid w:val="00917315"/>
    <w:rsid w:val="009359CE"/>
    <w:rsid w:val="0094519A"/>
    <w:rsid w:val="00945238"/>
    <w:rsid w:val="00951247"/>
    <w:rsid w:val="00954BD4"/>
    <w:rsid w:val="009556C1"/>
    <w:rsid w:val="00984063"/>
    <w:rsid w:val="009946D3"/>
    <w:rsid w:val="009A5EFF"/>
    <w:rsid w:val="009A6A91"/>
    <w:rsid w:val="009C47FB"/>
    <w:rsid w:val="009D2627"/>
    <w:rsid w:val="00A03F22"/>
    <w:rsid w:val="00A12FBB"/>
    <w:rsid w:val="00A13FB9"/>
    <w:rsid w:val="00A45470"/>
    <w:rsid w:val="00A527A9"/>
    <w:rsid w:val="00A74051"/>
    <w:rsid w:val="00A8242C"/>
    <w:rsid w:val="00AD2EBA"/>
    <w:rsid w:val="00AE09C7"/>
    <w:rsid w:val="00B0258E"/>
    <w:rsid w:val="00B511DD"/>
    <w:rsid w:val="00B64CD2"/>
    <w:rsid w:val="00B8136A"/>
    <w:rsid w:val="00B93D5C"/>
    <w:rsid w:val="00BB4632"/>
    <w:rsid w:val="00BD2EAF"/>
    <w:rsid w:val="00BE5DEA"/>
    <w:rsid w:val="00C01791"/>
    <w:rsid w:val="00C12C3E"/>
    <w:rsid w:val="00C30223"/>
    <w:rsid w:val="00C31DDF"/>
    <w:rsid w:val="00C74C87"/>
    <w:rsid w:val="00C82E79"/>
    <w:rsid w:val="00C93D69"/>
    <w:rsid w:val="00C974B6"/>
    <w:rsid w:val="00CC00CD"/>
    <w:rsid w:val="00CE6C83"/>
    <w:rsid w:val="00CF0367"/>
    <w:rsid w:val="00CF4215"/>
    <w:rsid w:val="00D01663"/>
    <w:rsid w:val="00D03669"/>
    <w:rsid w:val="00D06B7B"/>
    <w:rsid w:val="00D11CFD"/>
    <w:rsid w:val="00D2434A"/>
    <w:rsid w:val="00D44C7A"/>
    <w:rsid w:val="00D47772"/>
    <w:rsid w:val="00D608AD"/>
    <w:rsid w:val="00D60A6F"/>
    <w:rsid w:val="00D77252"/>
    <w:rsid w:val="00DE679B"/>
    <w:rsid w:val="00DF3422"/>
    <w:rsid w:val="00E0041B"/>
    <w:rsid w:val="00E11F3D"/>
    <w:rsid w:val="00E13683"/>
    <w:rsid w:val="00E1590B"/>
    <w:rsid w:val="00E24E44"/>
    <w:rsid w:val="00E327D9"/>
    <w:rsid w:val="00E40B83"/>
    <w:rsid w:val="00E47315"/>
    <w:rsid w:val="00E56435"/>
    <w:rsid w:val="00E6555C"/>
    <w:rsid w:val="00E72B99"/>
    <w:rsid w:val="00E76C10"/>
    <w:rsid w:val="00EB1981"/>
    <w:rsid w:val="00EC0D58"/>
    <w:rsid w:val="00EF6278"/>
    <w:rsid w:val="00F0154F"/>
    <w:rsid w:val="00F11B49"/>
    <w:rsid w:val="00F24C3F"/>
    <w:rsid w:val="00F43CA1"/>
    <w:rsid w:val="00F6230D"/>
    <w:rsid w:val="00F65826"/>
    <w:rsid w:val="00F72F9F"/>
    <w:rsid w:val="00F74924"/>
    <w:rsid w:val="00F77920"/>
    <w:rsid w:val="00F8610C"/>
    <w:rsid w:val="00FA6CC8"/>
    <w:rsid w:val="00FA77D2"/>
    <w:rsid w:val="00FC2940"/>
    <w:rsid w:val="00FD03AA"/>
    <w:rsid w:val="00FD1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chartTrackingRefBased/>
  <w15:docId w15:val="{B613BD98-6078-4AAA-840B-EBD969E04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C82E79"/>
    <w:pPr>
      <w:spacing w:before="60" w:after="60"/>
    </w:pPr>
    <w:rPr>
      <w:rFonts w:ascii="Arial" w:hAnsi="Arial"/>
      <w:sz w:val="22"/>
      <w:szCs w:val="24"/>
    </w:rPr>
  </w:style>
  <w:style w:type="paragraph" w:styleId="berschrift1">
    <w:name w:val="heading 1"/>
    <w:basedOn w:val="Standard"/>
    <w:next w:val="Standard"/>
    <w:qFormat/>
    <w:rsid w:val="00B511DD"/>
    <w:pPr>
      <w:keepNext/>
      <w:spacing w:before="480" w:after="360" w:line="320" w:lineRule="exact"/>
      <w:outlineLvl w:val="0"/>
    </w:pPr>
    <w:rPr>
      <w:rFonts w:cs="Arial"/>
      <w:b/>
      <w:bCs/>
      <w:kern w:val="32"/>
      <w:sz w:val="28"/>
      <w:szCs w:val="32"/>
    </w:rPr>
  </w:style>
  <w:style w:type="paragraph" w:styleId="berschrift2">
    <w:name w:val="heading 2"/>
    <w:basedOn w:val="Standard"/>
    <w:next w:val="Standard"/>
    <w:qFormat/>
    <w:rsid w:val="009556C1"/>
    <w:pPr>
      <w:keepNext/>
      <w:spacing w:before="360" w:line="280" w:lineRule="exact"/>
      <w:outlineLvl w:val="1"/>
    </w:pPr>
    <w:rPr>
      <w:rFonts w:cs="Arial"/>
      <w:b/>
      <w:bCs/>
      <w:iCs/>
      <w:sz w:val="24"/>
      <w:szCs w:val="28"/>
    </w:rPr>
  </w:style>
  <w:style w:type="paragraph" w:styleId="berschrift3">
    <w:name w:val="heading 3"/>
    <w:basedOn w:val="Standard"/>
    <w:next w:val="Standard"/>
    <w:qFormat/>
    <w:rsid w:val="00D60A6F"/>
    <w:pPr>
      <w:keepNext/>
      <w:spacing w:before="280" w:line="260" w:lineRule="exact"/>
      <w:outlineLvl w:val="2"/>
    </w:pPr>
    <w:rPr>
      <w:rFonts w:cs="Arial"/>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C93D69"/>
    <w:pPr>
      <w:spacing w:before="60" w:after="60"/>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vAlign w:val="center"/>
    </w:tcPr>
  </w:style>
  <w:style w:type="paragraph" w:customStyle="1" w:styleId="IQBTHAufgabentitel">
    <w:name w:val="IQB TH Aufgabentitel"/>
    <w:basedOn w:val="berschrift1"/>
    <w:rsid w:val="00E72B99"/>
    <w:pPr>
      <w:spacing w:before="0" w:after="240"/>
    </w:pPr>
    <w:rPr>
      <w:b w:val="0"/>
      <w:szCs w:val="36"/>
    </w:rPr>
  </w:style>
  <w:style w:type="paragraph" w:styleId="Dokumentstruktur">
    <w:name w:val="Document Map"/>
    <w:basedOn w:val="Standard"/>
    <w:semiHidden/>
    <w:rsid w:val="00566351"/>
    <w:pPr>
      <w:shd w:val="clear" w:color="auto" w:fill="000080"/>
    </w:pPr>
    <w:rPr>
      <w:rFonts w:ascii="Tahoma" w:hAnsi="Tahoma" w:cs="Tahoma"/>
      <w:sz w:val="20"/>
      <w:szCs w:val="20"/>
    </w:rPr>
  </w:style>
  <w:style w:type="paragraph" w:customStyle="1" w:styleId="IQBTHTeilaufgabeTitel">
    <w:name w:val="IQB TH Teilaufgabe Titel"/>
    <w:rsid w:val="00E72B99"/>
    <w:pPr>
      <w:keepNext/>
      <w:spacing w:before="120"/>
    </w:pPr>
    <w:rPr>
      <w:rFonts w:ascii="Arial" w:hAnsi="Arial" w:cs="Arial"/>
      <w:b/>
      <w:bCs/>
      <w:iCs/>
      <w:sz w:val="24"/>
      <w:szCs w:val="24"/>
    </w:rPr>
  </w:style>
  <w:style w:type="paragraph" w:customStyle="1" w:styleId="Flietext">
    <w:name w:val="Fließtext"/>
    <w:basedOn w:val="Standard"/>
    <w:uiPriority w:val="99"/>
    <w:rsid w:val="009556C1"/>
    <w:pPr>
      <w:spacing w:before="0" w:after="120"/>
    </w:pPr>
  </w:style>
  <w:style w:type="paragraph" w:styleId="Fuzeile">
    <w:name w:val="footer"/>
    <w:basedOn w:val="Standard"/>
    <w:link w:val="FuzeileZchn"/>
    <w:uiPriority w:val="99"/>
    <w:rsid w:val="003C5441"/>
    <w:pPr>
      <w:tabs>
        <w:tab w:val="center" w:pos="4536"/>
        <w:tab w:val="right" w:pos="9072"/>
      </w:tabs>
    </w:pPr>
  </w:style>
  <w:style w:type="character" w:styleId="Seitenzahl">
    <w:name w:val="page number"/>
    <w:rsid w:val="00455169"/>
    <w:rPr>
      <w:rFonts w:ascii="Arial" w:hAnsi="Arial"/>
      <w:sz w:val="22"/>
    </w:rPr>
  </w:style>
  <w:style w:type="paragraph" w:styleId="Kopfzeile">
    <w:name w:val="header"/>
    <w:basedOn w:val="Standard"/>
    <w:rsid w:val="00515C4D"/>
    <w:pPr>
      <w:tabs>
        <w:tab w:val="center" w:pos="4536"/>
        <w:tab w:val="right" w:pos="9072"/>
      </w:tabs>
    </w:pPr>
  </w:style>
  <w:style w:type="paragraph" w:customStyle="1" w:styleId="IQBTHTeilaufgabe">
    <w:name w:val="IQB TH Teilaufgabe"/>
    <w:basedOn w:val="Standard"/>
    <w:rsid w:val="005163C7"/>
    <w:pPr>
      <w:spacing w:after="360"/>
    </w:pPr>
  </w:style>
  <w:style w:type="paragraph" w:customStyle="1" w:styleId="IQBTHStimulus">
    <w:name w:val="IQB TH Stimulus"/>
    <w:basedOn w:val="Standard"/>
    <w:rsid w:val="005163C7"/>
    <w:pPr>
      <w:spacing w:after="360"/>
    </w:pPr>
  </w:style>
  <w:style w:type="character" w:customStyle="1" w:styleId="Blickfnger">
    <w:name w:val="Blickfänger"/>
    <w:rsid w:val="00B511DD"/>
    <w:rPr>
      <w:rFonts w:ascii="Arial" w:hAnsi="Arial"/>
      <w:b/>
      <w:sz w:val="22"/>
    </w:rPr>
  </w:style>
  <w:style w:type="character" w:customStyle="1" w:styleId="BezeichnungBetonung">
    <w:name w:val="Bezeichnung/Betonung"/>
    <w:rsid w:val="00B511DD"/>
    <w:rPr>
      <w:rFonts w:ascii="Arial" w:hAnsi="Arial"/>
      <w:i/>
      <w:sz w:val="22"/>
    </w:rPr>
  </w:style>
  <w:style w:type="table" w:customStyle="1" w:styleId="Tabelle">
    <w:name w:val="Tabelle"/>
    <w:basedOn w:val="NormaleTabelle"/>
    <w:rsid w:val="00C93D69"/>
    <w:pPr>
      <w:spacing w:before="60" w:after="60"/>
    </w:pPr>
    <w:rPr>
      <w:rFonts w:ascii="Arial" w:hAnsi="Arial"/>
      <w:sz w:val="18"/>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Pr>
    <w:tcPr>
      <w:tcMar>
        <w:top w:w="20" w:type="dxa"/>
        <w:left w:w="20" w:type="dxa"/>
        <w:bottom w:w="20" w:type="dxa"/>
        <w:right w:w="20" w:type="dxa"/>
      </w:tcMar>
      <w:vAlign w:val="center"/>
    </w:tcPr>
  </w:style>
  <w:style w:type="paragraph" w:customStyle="1" w:styleId="Aufzhlung">
    <w:name w:val="Aufzählung"/>
    <w:basedOn w:val="Standard"/>
    <w:rsid w:val="004D54E8"/>
    <w:pPr>
      <w:numPr>
        <w:numId w:val="3"/>
      </w:numPr>
      <w:spacing w:before="50" w:after="0"/>
    </w:pPr>
  </w:style>
  <w:style w:type="paragraph" w:customStyle="1" w:styleId="Nummerierung">
    <w:name w:val="Nummerierung"/>
    <w:basedOn w:val="Standard"/>
    <w:rsid w:val="005163C7"/>
    <w:pPr>
      <w:numPr>
        <w:numId w:val="4"/>
      </w:numPr>
      <w:spacing w:before="50" w:after="0"/>
    </w:pPr>
  </w:style>
  <w:style w:type="paragraph" w:customStyle="1" w:styleId="Nummerierung2">
    <w:name w:val="Nummerierung 2"/>
    <w:basedOn w:val="Standard"/>
    <w:rsid w:val="005163C7"/>
    <w:pPr>
      <w:numPr>
        <w:numId w:val="5"/>
      </w:numPr>
      <w:spacing w:before="50" w:after="0"/>
    </w:pPr>
  </w:style>
  <w:style w:type="paragraph" w:customStyle="1" w:styleId="IQB-Aufgabentitel">
    <w:name w:val="IQB-Aufgabentitel"/>
    <w:basedOn w:val="IQBTHAufgabentitel"/>
    <w:uiPriority w:val="99"/>
    <w:rsid w:val="00984063"/>
    <w:pPr>
      <w:spacing w:before="240" w:line="240" w:lineRule="auto"/>
    </w:pPr>
  </w:style>
  <w:style w:type="paragraph" w:customStyle="1" w:styleId="IQB-Teilaufgabentitel">
    <w:name w:val="IQB-Teilaufgabentitel"/>
    <w:basedOn w:val="IQB-Aufgabensubtitel"/>
    <w:link w:val="IQB-TeilaufgabentitelZchn"/>
    <w:rsid w:val="00984063"/>
    <w:rPr>
      <w:b/>
    </w:rPr>
  </w:style>
  <w:style w:type="paragraph" w:customStyle="1" w:styleId="IQB-RSNormal">
    <w:name w:val="IQB-RSNormal"/>
    <w:basedOn w:val="Standard"/>
    <w:link w:val="IQB-RSNormalZchn"/>
    <w:qFormat/>
    <w:rsid w:val="00984063"/>
    <w:rPr>
      <w:rFonts w:cs="Arial"/>
      <w:sz w:val="18"/>
      <w:szCs w:val="22"/>
    </w:rPr>
  </w:style>
  <w:style w:type="character" w:customStyle="1" w:styleId="IQB-RSNormalZchn">
    <w:name w:val="IQB-RSNormal Zchn"/>
    <w:link w:val="IQB-RSNormal"/>
    <w:rsid w:val="00984063"/>
    <w:rPr>
      <w:rFonts w:ascii="Arial" w:hAnsi="Arial" w:cs="Arial"/>
      <w:sz w:val="18"/>
      <w:szCs w:val="22"/>
    </w:rPr>
  </w:style>
  <w:style w:type="paragraph" w:customStyle="1" w:styleId="IQB-RSCodeValue">
    <w:name w:val="IQB-RSCodeValue"/>
    <w:basedOn w:val="Standard"/>
    <w:link w:val="IQB-RSCodeValueZchn"/>
    <w:qFormat/>
    <w:rsid w:val="00984063"/>
    <w:rPr>
      <w:sz w:val="18"/>
    </w:rPr>
  </w:style>
  <w:style w:type="character" w:customStyle="1" w:styleId="IQB-RSCodeValueZchn">
    <w:name w:val="IQB-RSCodeValue Zchn"/>
    <w:link w:val="IQB-RSCodeValue"/>
    <w:rsid w:val="00984063"/>
    <w:rPr>
      <w:rFonts w:ascii="Arial" w:hAnsi="Arial"/>
      <w:sz w:val="18"/>
      <w:szCs w:val="24"/>
    </w:rPr>
  </w:style>
  <w:style w:type="paragraph" w:customStyle="1" w:styleId="IQB-Teilaufgabensubtitel">
    <w:name w:val="IQB-Teilaufgabensubtitel"/>
    <w:basedOn w:val="IQB-Aufgabensubtitel"/>
    <w:link w:val="IQB-TeilaufgabensubtitelZchn"/>
    <w:qFormat/>
    <w:rsid w:val="00984063"/>
  </w:style>
  <w:style w:type="character" w:customStyle="1" w:styleId="IQB-TeilaufgabentitelZchn">
    <w:name w:val="IQB-Teilaufgabentitel Zchn"/>
    <w:link w:val="IQB-Teilaufgabentitel"/>
    <w:rsid w:val="00984063"/>
    <w:rPr>
      <w:rFonts w:ascii="Arial" w:hAnsi="Arial"/>
      <w:b/>
      <w:sz w:val="24"/>
      <w:szCs w:val="24"/>
    </w:rPr>
  </w:style>
  <w:style w:type="character" w:customStyle="1" w:styleId="IQB-TeilaufgabensubtitelZchn">
    <w:name w:val="IQB-Teilaufgabensubtitel Zchn"/>
    <w:link w:val="IQB-Teilaufgabensubtitel"/>
    <w:rsid w:val="00984063"/>
    <w:rPr>
      <w:rFonts w:ascii="Arial" w:hAnsi="Arial"/>
      <w:sz w:val="24"/>
      <w:szCs w:val="24"/>
    </w:rPr>
  </w:style>
  <w:style w:type="paragraph" w:customStyle="1" w:styleId="IQB-Aufgabensubtitel">
    <w:name w:val="IQB-Aufgabensubtitel"/>
    <w:basedOn w:val="Standard"/>
    <w:link w:val="IQB-AufgabensubtitelZchn"/>
    <w:qFormat/>
    <w:rsid w:val="00984063"/>
    <w:pPr>
      <w:keepNext/>
      <w:spacing w:before="120" w:after="120"/>
    </w:pPr>
    <w:rPr>
      <w:sz w:val="24"/>
    </w:rPr>
  </w:style>
  <w:style w:type="paragraph" w:customStyle="1" w:styleId="IQB-Merkmal">
    <w:name w:val="IQB-Merkmal"/>
    <w:basedOn w:val="Standard"/>
    <w:link w:val="IQB-MerkmalZchn"/>
    <w:qFormat/>
    <w:rsid w:val="00984063"/>
    <w:rPr>
      <w:sz w:val="18"/>
      <w:szCs w:val="22"/>
    </w:rPr>
  </w:style>
  <w:style w:type="character" w:customStyle="1" w:styleId="IQB-AufgabensubtitelZchn">
    <w:name w:val="IQB-Aufgabensubtitel Zchn"/>
    <w:link w:val="IQB-Aufgabensubtitel"/>
    <w:rsid w:val="00984063"/>
    <w:rPr>
      <w:rFonts w:ascii="Arial" w:hAnsi="Arial"/>
      <w:sz w:val="24"/>
      <w:szCs w:val="24"/>
    </w:rPr>
  </w:style>
  <w:style w:type="paragraph" w:customStyle="1" w:styleId="IQB-Merkmalswert">
    <w:name w:val="IQB-Merkmalswert"/>
    <w:basedOn w:val="Standard"/>
    <w:link w:val="IQB-MerkmalswertZchn"/>
    <w:qFormat/>
    <w:rsid w:val="00984063"/>
    <w:rPr>
      <w:sz w:val="18"/>
    </w:rPr>
  </w:style>
  <w:style w:type="character" w:customStyle="1" w:styleId="IQB-MerkmalZchn">
    <w:name w:val="IQB-Merkmal Zchn"/>
    <w:link w:val="IQB-Merkmal"/>
    <w:rsid w:val="00984063"/>
    <w:rPr>
      <w:rFonts w:ascii="Arial" w:hAnsi="Arial"/>
      <w:sz w:val="18"/>
      <w:szCs w:val="22"/>
    </w:rPr>
  </w:style>
  <w:style w:type="character" w:customStyle="1" w:styleId="IQB-MerkmalswertZchn">
    <w:name w:val="IQB-Merkmalswert Zchn"/>
    <w:link w:val="IQB-Merkmalswert"/>
    <w:rsid w:val="00984063"/>
    <w:rPr>
      <w:rFonts w:ascii="Arial" w:hAnsi="Arial"/>
      <w:sz w:val="18"/>
      <w:szCs w:val="24"/>
    </w:rPr>
  </w:style>
  <w:style w:type="paragraph" w:customStyle="1" w:styleId="IQB-Teilaufgabengrafik">
    <w:name w:val="IQB-Teilaufgabengrafik"/>
    <w:basedOn w:val="Standard"/>
    <w:link w:val="IQB-TeilaufgabengrafikZchn"/>
    <w:qFormat/>
    <w:rsid w:val="00984063"/>
    <w:pPr>
      <w:widowControl w:val="0"/>
      <w:spacing w:after="120"/>
    </w:pPr>
  </w:style>
  <w:style w:type="character" w:customStyle="1" w:styleId="IQB-TeilaufgabengrafikZchn">
    <w:name w:val="IQB-Teilaufgabengrafik Zchn"/>
    <w:link w:val="IQB-Teilaufgabengrafik"/>
    <w:rsid w:val="00984063"/>
    <w:rPr>
      <w:rFonts w:ascii="Arial" w:hAnsi="Arial"/>
      <w:sz w:val="22"/>
      <w:szCs w:val="24"/>
    </w:rPr>
  </w:style>
  <w:style w:type="paragraph" w:styleId="Funotentext">
    <w:name w:val="footnote text"/>
    <w:basedOn w:val="Standard"/>
    <w:link w:val="FunotentextZchn"/>
    <w:rsid w:val="00917315"/>
    <w:pPr>
      <w:spacing w:before="0" w:after="0"/>
    </w:pPr>
    <w:rPr>
      <w:sz w:val="20"/>
      <w:szCs w:val="20"/>
    </w:rPr>
  </w:style>
  <w:style w:type="character" w:customStyle="1" w:styleId="FunotentextZchn">
    <w:name w:val="Fußnotentext Zchn"/>
    <w:basedOn w:val="Absatz-Standardschriftart"/>
    <w:link w:val="Funotentext"/>
    <w:rsid w:val="00917315"/>
    <w:rPr>
      <w:rFonts w:ascii="Arial" w:hAnsi="Arial"/>
    </w:rPr>
  </w:style>
  <w:style w:type="character" w:styleId="Funotenzeichen">
    <w:name w:val="footnote reference"/>
    <w:basedOn w:val="Absatz-Standardschriftart"/>
    <w:rsid w:val="00917315"/>
    <w:rPr>
      <w:vertAlign w:val="superscript"/>
    </w:rPr>
  </w:style>
  <w:style w:type="character" w:customStyle="1" w:styleId="FuzeileZchn">
    <w:name w:val="Fußzeile Zchn"/>
    <w:basedOn w:val="Absatz-Standardschriftart"/>
    <w:link w:val="Fuzeile"/>
    <w:uiPriority w:val="99"/>
    <w:rsid w:val="004D55DB"/>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3023</Words>
  <Characters>21500</Characters>
  <Application>Microsoft Office Word</Application>
  <DocSecurity>0</DocSecurity>
  <Lines>179</Lines>
  <Paragraphs>48</Paragraphs>
  <ScaleCrop>false</ScaleCrop>
  <HeadingPairs>
    <vt:vector size="2" baseType="variant">
      <vt:variant>
        <vt:lpstr>Titel</vt:lpstr>
      </vt:variant>
      <vt:variant>
        <vt:i4>1</vt:i4>
      </vt:variant>
    </vt:vector>
  </HeadingPairs>
  <TitlesOfParts>
    <vt:vector size="1" baseType="lpstr">
      <vt:lpstr>IQB-Aufgabe(n) über Grafiken</vt:lpstr>
    </vt:vector>
  </TitlesOfParts>
  <Company>HU IQB</Company>
  <LinksUpToDate>false</LinksUpToDate>
  <CharactersWithSpaces>24475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IQB-Aufgabe(n) über Grafiken</dc:title>
  <dc:subject/>
  <dc:creator>Matthias Stöhr</dc:creator>
  <cp:keywords/>
  <cp:lastModifiedBy>Matthias Stöhr</cp:lastModifiedBy>
  <cp:revision>8</cp:revision>
  <cp:lastPrinted>2007-01-11T14:25:00Z</cp:lastPrinted>
  <dcterms:created xsi:type="dcterms:W3CDTF">2025-01-21T13:18:00Z</dcterms:created>
  <dcterms:modified xsi:type="dcterms:W3CDTF">2025-06-20T15:19:00Z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QB-TH-NrModus">
    <vt:lpwstr>1</vt:lpwstr>
  </property>
  <property fmtid="{D5CDD505-2E9C-101B-9397-08002B2CF9AE}" pid="3" name="IQB-TH-Layout">
    <vt:lpwstr>1</vt:lpwstr>
  </property>
  <property fmtid="{D5CDD505-2E9C-101B-9397-08002B2CF9AE}" pid="4" name="IQB-TH-Vorlage-Grafikbreite">
    <vt:lpwstr>16</vt:lpwstr>
  </property>
  <property fmtid="{D5CDD505-2E9C-101B-9397-08002B2CF9AE}" pid="5" name="IQB-ModusAufgTitel">
    <vt:lpwstr>2</vt:lpwstr>
  </property>
  <property fmtid="{D5CDD505-2E9C-101B-9397-08002B2CF9AE}" pid="6" name="IQB-ModusTATitel">
    <vt:lpwstr>3</vt:lpwstr>
  </property>
  <property fmtid="{D5CDD505-2E9C-101B-9397-08002B2CF9AE}" pid="7" name="IQB-TAPrefix">
    <vt:lpwstr>Teilaufgabe</vt:lpwstr>
  </property>
  <property fmtid="{D5CDD505-2E9C-101B-9397-08002B2CF9AE}" pid="8" name="IQB-BreiteErsteSpalte">
    <vt:lpwstr>0</vt:lpwstr>
  </property>
  <property fmtid="{D5CDD505-2E9C-101B-9397-08002B2CF9AE}" pid="9" name="IQB-BreiteZweiteSpalte">
    <vt:lpwstr>1,7</vt:lpwstr>
  </property>
  <property fmtid="{D5CDD505-2E9C-101B-9397-08002B2CF9AE}" pid="10" name="IQB-MaxvarAnz">
    <vt:lpwstr>4</vt:lpwstr>
  </property>
  <property fmtid="{D5CDD505-2E9C-101B-9397-08002B2CF9AE}" pid="11" name="IQB-StTab">
    <vt:lpwstr>0</vt:lpwstr>
  </property>
  <property fmtid="{D5CDD505-2E9C-101B-9397-08002B2CF9AE}" pid="12" name="IQB-ModusTANr">
    <vt:lpwstr>1</vt:lpwstr>
  </property>
  <property fmtid="{D5CDD505-2E9C-101B-9397-08002B2CF9AE}" pid="13" name="IQB-AufgPrefix">
    <vt:lpwstr>Aufgabe</vt:lpwstr>
  </property>
  <property fmtid="{D5CDD505-2E9C-101B-9397-08002B2CF9AE}" pid="14" name="IQB-KAufgabe">
    <vt:lpwstr>0</vt:lpwstr>
  </property>
  <property fmtid="{D5CDD505-2E9C-101B-9397-08002B2CF9AE}" pid="15" name="IQB-KItem">
    <vt:lpwstr>0</vt:lpwstr>
  </property>
  <property fmtid="{D5CDD505-2E9C-101B-9397-08002B2CF9AE}" pid="16" name="IQB-KBreiteErsteSpalte">
    <vt:lpwstr>2</vt:lpwstr>
  </property>
  <property fmtid="{D5CDD505-2E9C-101B-9397-08002B2CF9AE}" pid="17" name="IQB-KBreiteZweiteSpalte">
    <vt:lpwstr>14</vt:lpwstr>
  </property>
  <property fmtid="{D5CDD505-2E9C-101B-9397-08002B2CF9AE}" pid="18" name="IQB-KBullet">
    <vt:lpwstr>149</vt:lpwstr>
  </property>
  <property fmtid="{D5CDD505-2E9C-101B-9397-08002B2CF9AE}" pid="19" name="IQB-KBedfett">
    <vt:lpwstr>0</vt:lpwstr>
  </property>
  <property fmtid="{D5CDD505-2E9C-101B-9397-08002B2CF9AE}" pid="20" name="IQB-KBedkursiv">
    <vt:lpwstr>0</vt:lpwstr>
  </property>
  <property fmtid="{D5CDD505-2E9C-101B-9397-08002B2CF9AE}" pid="21" name="IQB-KBedBspfett">
    <vt:lpwstr>0</vt:lpwstr>
  </property>
  <property fmtid="{D5CDD505-2E9C-101B-9397-08002B2CF9AE}" pid="22" name="IQB-KBedBspkursiv">
    <vt:lpwstr>0</vt:lpwstr>
  </property>
  <property fmtid="{D5CDD505-2E9C-101B-9397-08002B2CF9AE}" pid="23" name="IQB-KVariable">
    <vt:lpwstr>0</vt:lpwstr>
  </property>
  <property fmtid="{D5CDD505-2E9C-101B-9397-08002B2CF9AE}" pid="24" name="IQB-KBezFullCredit">
    <vt:lpwstr>RICHTIG</vt:lpwstr>
  </property>
  <property fmtid="{D5CDD505-2E9C-101B-9397-08002B2CF9AE}" pid="25" name="IQB-KBezNoCredit">
    <vt:lpwstr>FALSCH</vt:lpwstr>
  </property>
  <property fmtid="{D5CDD505-2E9C-101B-9397-08002B2CF9AE}" pid="26" name="IQB-AufgSuffix">
    <vt:lpwstr>:</vt:lpwstr>
  </property>
  <property fmtid="{D5CDD505-2E9C-101B-9397-08002B2CF9AE}" pid="27" name="IQB-BreiteErsteMerkmalsSpalte">
    <vt:lpwstr>3,5</vt:lpwstr>
  </property>
</Properties>
</file>