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246678b021c4b4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Ein Wort – mehrere Bedeutungen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1) D UND H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2) B UND L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3) C UND O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4) A UND G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5) I UND K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6) E UND L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7) A UND N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8) P UND R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9) J UND Q</w:t>
            </w:r>
          </w:p>
          <w:p/>
          <w:p>
            <w:pPr>
              <w:pStyle w:val="IQB-RSNormal"/>
            </w:pPr>
            <w:r>
              <w:t xml:space="preserve">HINWEIS: Die Reihenfolge der Buchstaben ist in der jeweiligen Zeile irrelevant.</w:t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1) C UND L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2) I UND J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3) F UND H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4) A UND D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5) K UND M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6) G UND K</w:t>
            </w:r>
          </w:p>
          <w:p/>
          <w:p>
            <w:pPr>
              <w:pStyle w:val="IQB-RSNormal"/>
            </w:pPr>
            <w:r>
              <w:t xml:space="preserve">HINWEIS: Die Reihenfolge der Buchstaben ist in der jeweiligen Zeile irrelevant.</w:t>
            </w:r>
          </w:p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bei a) </w:t>
            </w:r>
          </w:p>
          <w:p>
            <w:pPr>
              <w:pStyle w:val="IQB-RSNormal"/>
            </w:pPr>
            <w:r>
              <w:t xml:space="preserve">B</w:t>
            </w:r>
          </w:p>
          <w:p>
            <w:pPr>
              <w:pStyle w:val="IQB-RSNormal"/>
            </w:pPr>
            <w:r>
              <w:t xml:space="preserve">A</w:t>
            </w:r>
          </w:p>
          <w:p>
            <w:pPr>
              <w:pStyle w:val="IQB-RSNormal"/>
            </w:pPr>
            <w:r>
              <w:t xml:space="preserve">B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bei b) </w:t>
            </w:r>
          </w:p>
          <w:p>
            <w:pPr>
              <w:pStyle w:val="IQB-RSNormal"/>
            </w:pPr>
            <w:r>
              <w:t xml:space="preserve">B</w:t>
            </w:r>
          </w:p>
          <w:p>
            <w:pPr>
              <w:pStyle w:val="IQB-RSNormal"/>
            </w:pPr>
            <w:r>
              <w:t xml:space="preserve">A</w:t>
            </w:r>
          </w:p>
          <w:p>
            <w:pPr>
              <w:pStyle w:val="IQB-RSNormal"/>
            </w:pPr>
            <w:r>
              <w:t xml:space="preserve">A</w:t>
            </w:r>
          </w:p>
        </w:tc>
      </w:t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bei c) </w:t>
            </w:r>
          </w:p>
          <w:p>
            <w:pPr>
              <w:pStyle w:val="IQB-RSNormal"/>
            </w:pPr>
            <w:r>
              <w:t xml:space="preserve">B</w:t>
            </w:r>
          </w:p>
          <w:p>
            <w:pPr>
              <w:pStyle w:val="IQB-RSNormal"/>
            </w:pPr>
            <w:r>
              <w:t xml:space="preserve">A</w:t>
            </w:r>
          </w:p>
          <w:p>
            <w:pPr>
              <w:pStyle w:val="IQB-RSNormal"/>
            </w:pPr>
            <w:r>
              <w:t xml:space="preserve">C</w:t>
            </w:r>
          </w:p>
          <w:p>
            <w:pPr>
              <w:pStyle w:val="IQB-RSNormal"/>
            </w:pPr>
            <w:r>
              <w:t xml:space="preserve">B</w:t>
            </w:r>
          </w:p>
          <w:p>
            <w:pPr>
              <w:pStyle w:val="IQB-RSNormal"/>
            </w:pPr>
            <w:r>
              <w:t xml:space="preserve">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2020-11-13T11:22:38.9612321Z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schulvan; 13.11.2020</vt:lpwstr>
  </op:property>
</op:Properties>
</file>