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82D" w:rsidRDefault="006C7BE7" w:rsidP="00CD3641">
      <w:pPr>
        <w:pStyle w:val="IQB-Aufgabentitel"/>
        <w:spacing w:after="120"/>
        <w:rPr>
          <w:szCs w:val="28"/>
        </w:rPr>
      </w:pPr>
      <w:r w:rsidRPr="000A60C4">
        <w:rPr>
          <w:szCs w:val="28"/>
        </w:rPr>
        <w:t xml:space="preserve">Didaktische </w:t>
      </w:r>
      <w:r w:rsidR="008953BC">
        <w:rPr>
          <w:szCs w:val="28"/>
        </w:rPr>
        <w:t>Kommentierung</w:t>
      </w:r>
      <w:r w:rsidRPr="000A60C4">
        <w:rPr>
          <w:szCs w:val="28"/>
        </w:rPr>
        <w:t>: Aufgabe Bankproblem</w:t>
      </w:r>
    </w:p>
    <w:p w:rsidR="00CD3641" w:rsidRPr="00CD3641" w:rsidRDefault="00CD3641" w:rsidP="00CD3641">
      <w:pPr>
        <w:pStyle w:val="IQB-Aufgabentitel"/>
        <w:spacing w:after="120"/>
        <w:rPr>
          <w:sz w:val="22"/>
          <w:szCs w:val="22"/>
        </w:rPr>
      </w:pPr>
    </w:p>
    <w:p w:rsidR="006C7BE7" w:rsidRPr="000A60C4" w:rsidRDefault="006C7BE7" w:rsidP="00CD3641">
      <w:pPr>
        <w:pStyle w:val="IQB-Aufgabentitel"/>
        <w:spacing w:after="120"/>
        <w:rPr>
          <w:b/>
          <w:sz w:val="22"/>
          <w:szCs w:val="22"/>
        </w:rPr>
      </w:pPr>
      <w:r w:rsidRPr="000A60C4">
        <w:rPr>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13782D" w:rsidRPr="000A60C4">
        <w:tc>
          <w:tcPr>
            <w:tcW w:w="2040" w:type="dxa"/>
            <w:vAlign w:val="center"/>
          </w:tcPr>
          <w:p w:rsidR="0013782D" w:rsidRPr="00CD3641" w:rsidRDefault="00895E6C" w:rsidP="00CD3641">
            <w:pPr>
              <w:pStyle w:val="IQB-Merkmal"/>
              <w:spacing w:before="0" w:after="120"/>
              <w:rPr>
                <w:sz w:val="20"/>
                <w:szCs w:val="20"/>
              </w:rPr>
            </w:pPr>
            <w:r w:rsidRPr="00CD3641">
              <w:rPr>
                <w:sz w:val="20"/>
                <w:szCs w:val="20"/>
              </w:rPr>
              <w:t>Leitidee</w:t>
            </w:r>
          </w:p>
        </w:tc>
        <w:tc>
          <w:tcPr>
            <w:tcW w:w="7086" w:type="dxa"/>
          </w:tcPr>
          <w:p w:rsidR="0013782D" w:rsidRPr="00CD3641" w:rsidRDefault="00895E6C" w:rsidP="00CD3641">
            <w:pPr>
              <w:pStyle w:val="IQB-Merkmalswert"/>
              <w:spacing w:before="0" w:after="120"/>
              <w:rPr>
                <w:sz w:val="20"/>
                <w:szCs w:val="20"/>
              </w:rPr>
            </w:pPr>
            <w:r w:rsidRPr="00CD3641">
              <w:rPr>
                <w:sz w:val="20"/>
                <w:szCs w:val="20"/>
              </w:rPr>
              <w:t>Daten, Häufigkeit und Wahrscheinlichkeit</w:t>
            </w:r>
          </w:p>
        </w:tc>
      </w:tr>
      <w:tr w:rsidR="0013782D" w:rsidRPr="000A60C4">
        <w:tc>
          <w:tcPr>
            <w:tcW w:w="2040" w:type="dxa"/>
            <w:vAlign w:val="center"/>
          </w:tcPr>
          <w:p w:rsidR="0013782D" w:rsidRPr="00CD3641" w:rsidRDefault="00895E6C" w:rsidP="00CD3641">
            <w:pPr>
              <w:pStyle w:val="IQB-Merkmal"/>
              <w:spacing w:before="0" w:after="120"/>
              <w:rPr>
                <w:sz w:val="20"/>
                <w:szCs w:val="20"/>
              </w:rPr>
            </w:pPr>
            <w:r w:rsidRPr="00CD3641">
              <w:rPr>
                <w:sz w:val="20"/>
                <w:szCs w:val="20"/>
              </w:rPr>
              <w:t>Bildungsstandard/s - Allgemeine Kompetenzen</w:t>
            </w:r>
          </w:p>
        </w:tc>
        <w:tc>
          <w:tcPr>
            <w:tcW w:w="7086" w:type="dxa"/>
          </w:tcPr>
          <w:p w:rsidR="0013782D" w:rsidRPr="00CD3641" w:rsidRDefault="00895E6C" w:rsidP="00CD3641">
            <w:pPr>
              <w:pStyle w:val="IQB-Merkmalswert"/>
              <w:spacing w:before="0" w:after="120"/>
              <w:rPr>
                <w:sz w:val="20"/>
                <w:szCs w:val="20"/>
              </w:rPr>
            </w:pPr>
            <w:r w:rsidRPr="00CD3641">
              <w:rPr>
                <w:sz w:val="20"/>
                <w:szCs w:val="20"/>
              </w:rPr>
              <w:t>Sachtexten und anderen Darstellungen der Lebenswirklichkeit die relevanten Informationen entnehmen</w:t>
            </w:r>
          </w:p>
        </w:tc>
      </w:tr>
      <w:tr w:rsidR="0013782D" w:rsidRPr="000A60C4">
        <w:tc>
          <w:tcPr>
            <w:tcW w:w="2040" w:type="dxa"/>
            <w:vAlign w:val="center"/>
          </w:tcPr>
          <w:p w:rsidR="0013782D" w:rsidRPr="00CD3641" w:rsidRDefault="00895E6C" w:rsidP="00CD3641">
            <w:pPr>
              <w:pStyle w:val="IQB-Merkmal"/>
              <w:spacing w:before="0" w:after="120"/>
              <w:rPr>
                <w:sz w:val="20"/>
                <w:szCs w:val="20"/>
              </w:rPr>
            </w:pPr>
            <w:r w:rsidRPr="00CD3641">
              <w:rPr>
                <w:sz w:val="20"/>
                <w:szCs w:val="20"/>
              </w:rPr>
              <w:t>Bildungsstandard/s - Inhaltsbezogene Kompetenzen (Leitideen)</w:t>
            </w:r>
          </w:p>
        </w:tc>
        <w:tc>
          <w:tcPr>
            <w:tcW w:w="7086" w:type="dxa"/>
          </w:tcPr>
          <w:p w:rsidR="0013782D" w:rsidRPr="00CD3641" w:rsidRDefault="00895E6C" w:rsidP="00CD3641">
            <w:pPr>
              <w:pStyle w:val="IQB-Merkmalswert"/>
              <w:spacing w:before="0" w:after="120"/>
              <w:rPr>
                <w:sz w:val="20"/>
                <w:szCs w:val="20"/>
              </w:rPr>
            </w:pPr>
            <w:r w:rsidRPr="00CD3641">
              <w:rPr>
                <w:sz w:val="20"/>
                <w:szCs w:val="20"/>
              </w:rPr>
              <w:t>Grundbegriffe kennen (z. B. sicher, unmöglich, wahrscheinlich)</w:t>
            </w:r>
          </w:p>
        </w:tc>
      </w:tr>
      <w:tr w:rsidR="0013782D" w:rsidRPr="000A60C4">
        <w:tc>
          <w:tcPr>
            <w:tcW w:w="2040" w:type="dxa"/>
            <w:vAlign w:val="center"/>
          </w:tcPr>
          <w:p w:rsidR="0013782D" w:rsidRPr="00CD3641" w:rsidRDefault="00895E6C" w:rsidP="00CD3641">
            <w:pPr>
              <w:pStyle w:val="IQB-Merkmal"/>
              <w:spacing w:before="0" w:after="120"/>
              <w:rPr>
                <w:sz w:val="20"/>
                <w:szCs w:val="20"/>
              </w:rPr>
            </w:pPr>
            <w:r w:rsidRPr="00CD3641">
              <w:rPr>
                <w:sz w:val="20"/>
                <w:szCs w:val="20"/>
              </w:rPr>
              <w:t>Kompetenzstufe</w:t>
            </w:r>
          </w:p>
        </w:tc>
        <w:tc>
          <w:tcPr>
            <w:tcW w:w="7086" w:type="dxa"/>
          </w:tcPr>
          <w:p w:rsidR="0013782D" w:rsidRPr="00CD3641" w:rsidRDefault="00895E6C" w:rsidP="00CD3641">
            <w:pPr>
              <w:pStyle w:val="IQB-Merkmalswert"/>
              <w:spacing w:before="0" w:after="120"/>
              <w:rPr>
                <w:sz w:val="20"/>
                <w:szCs w:val="20"/>
              </w:rPr>
            </w:pPr>
            <w:r w:rsidRPr="00CD3641">
              <w:rPr>
                <w:sz w:val="20"/>
                <w:szCs w:val="20"/>
              </w:rPr>
              <w:t>III</w:t>
            </w:r>
          </w:p>
        </w:tc>
      </w:tr>
      <w:tr w:rsidR="0013782D" w:rsidRPr="000A60C4">
        <w:tc>
          <w:tcPr>
            <w:tcW w:w="2040" w:type="dxa"/>
            <w:vAlign w:val="center"/>
          </w:tcPr>
          <w:p w:rsidR="0013782D" w:rsidRPr="00CD3641" w:rsidRDefault="00895E6C" w:rsidP="00CD3641">
            <w:pPr>
              <w:pStyle w:val="IQB-Merkmal"/>
              <w:spacing w:before="0" w:after="120"/>
              <w:rPr>
                <w:sz w:val="20"/>
                <w:szCs w:val="20"/>
              </w:rPr>
            </w:pPr>
            <w:r w:rsidRPr="00CD3641">
              <w:rPr>
                <w:sz w:val="20"/>
                <w:szCs w:val="20"/>
              </w:rPr>
              <w:t>Anforderungsbereich</w:t>
            </w:r>
          </w:p>
        </w:tc>
        <w:tc>
          <w:tcPr>
            <w:tcW w:w="7086" w:type="dxa"/>
          </w:tcPr>
          <w:p w:rsidR="0013782D" w:rsidRPr="00CD3641" w:rsidRDefault="00895E6C" w:rsidP="00CD3641">
            <w:pPr>
              <w:pStyle w:val="IQB-Merkmalswert"/>
              <w:spacing w:before="0" w:after="120"/>
              <w:rPr>
                <w:sz w:val="20"/>
                <w:szCs w:val="20"/>
              </w:rPr>
            </w:pPr>
            <w:r w:rsidRPr="00CD3641">
              <w:rPr>
                <w:sz w:val="20"/>
                <w:szCs w:val="20"/>
              </w:rPr>
              <w:t>Verallgemeinern und Reflektieren (III)</w:t>
            </w:r>
          </w:p>
        </w:tc>
      </w:tr>
    </w:tbl>
    <w:p w:rsidR="00CD3641" w:rsidRDefault="00CD3641" w:rsidP="00CD3641">
      <w:pPr>
        <w:pStyle w:val="IQB-Teilaufgabensubtitel"/>
        <w:spacing w:before="0" w:after="120"/>
        <w:rPr>
          <w:szCs w:val="22"/>
        </w:rPr>
      </w:pPr>
    </w:p>
    <w:p w:rsidR="00CD3641" w:rsidRPr="00CD3641" w:rsidRDefault="009F2EF5" w:rsidP="00CD3641">
      <w:pPr>
        <w:pStyle w:val="IQB-Teilaufgabensubtitel"/>
        <w:spacing w:before="0" w:after="120"/>
        <w:rPr>
          <w:b/>
          <w:szCs w:val="22"/>
        </w:rPr>
      </w:pPr>
      <w:r>
        <w:rPr>
          <w:b/>
          <w:szCs w:val="22"/>
        </w:rPr>
        <w:t>Aufgabenbezogener Kommentar</w:t>
      </w:r>
    </w:p>
    <w:p w:rsidR="00CD3641" w:rsidRPr="00CD3641" w:rsidRDefault="00CD3641" w:rsidP="00CD3641">
      <w:pPr>
        <w:pStyle w:val="IQB-Teilaufgabensubtitel"/>
        <w:spacing w:before="0" w:after="120"/>
        <w:rPr>
          <w:szCs w:val="22"/>
        </w:rPr>
      </w:pPr>
      <w:r w:rsidRPr="00CD3641">
        <w:rPr>
          <w:szCs w:val="22"/>
        </w:rPr>
        <w:t>Der Sachkontext aus der direkten Lebenswelt der Kinder setzt kombinatorische Überlegungen voraus, um dann Aussagen mit den Fachbegriffen zur Wahrscheinlichkeit zu überprüfen.</w:t>
      </w:r>
    </w:p>
    <w:p w:rsidR="00CD3641" w:rsidRPr="00CD3641" w:rsidRDefault="00CD3641" w:rsidP="00CD3641">
      <w:pPr>
        <w:pStyle w:val="IQB-Teilaufgabensubtitel"/>
        <w:spacing w:before="0" w:after="120"/>
        <w:rPr>
          <w:szCs w:val="22"/>
        </w:rPr>
      </w:pPr>
    </w:p>
    <w:p w:rsidR="00CD3641" w:rsidRPr="00CD3641" w:rsidRDefault="009F2EF5" w:rsidP="00CD3641">
      <w:pPr>
        <w:pStyle w:val="IQB-Teilaufgabensubtitel"/>
        <w:spacing w:before="0" w:after="120"/>
        <w:rPr>
          <w:b/>
          <w:szCs w:val="22"/>
        </w:rPr>
      </w:pPr>
      <w:r>
        <w:rPr>
          <w:b/>
          <w:szCs w:val="22"/>
        </w:rPr>
        <w:t>Anregungen für den Unterricht</w:t>
      </w:r>
      <w:bookmarkStart w:id="0" w:name="_GoBack"/>
      <w:bookmarkEnd w:id="0"/>
    </w:p>
    <w:p w:rsidR="00895E6C" w:rsidRPr="00CD3641" w:rsidRDefault="00CD3641" w:rsidP="00CD3641">
      <w:pPr>
        <w:pStyle w:val="IQB-Teilaufgabensubtitel"/>
        <w:spacing w:before="0" w:after="120"/>
        <w:rPr>
          <w:szCs w:val="22"/>
        </w:rPr>
      </w:pPr>
      <w:r w:rsidRPr="00CD3641">
        <w:rPr>
          <w:szCs w:val="22"/>
        </w:rPr>
        <w:t>Zum Verständnis kombinatorischer Aufgaben ist das Sammeln von Erfahrungen im praktischen Handeln eine Grundlage. Als Lösungshilfe ist es denkbar, alle Möglichkeiten der Sitzverteilung zu notieren. Um alle Varianten zu ermitteln, können Buchstabenkarten genutzt werden. Zur Differenzierung bietet sich eine Veränderung der Sachsituation durch eine weitere Person an.</w:t>
      </w:r>
    </w:p>
    <w:sectPr w:rsidR="00895E6C" w:rsidRPr="00CD36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BE7" w:rsidRDefault="006C7BE7" w:rsidP="006C7BE7">
      <w:r>
        <w:separator/>
      </w:r>
    </w:p>
  </w:endnote>
  <w:endnote w:type="continuationSeparator" w:id="0">
    <w:p w:rsidR="006C7BE7" w:rsidRDefault="006C7BE7" w:rsidP="006C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BE7" w:rsidRDefault="006C7B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BE7" w:rsidRDefault="006C7BE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BE7" w:rsidRDefault="006C7B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BE7" w:rsidRDefault="006C7BE7" w:rsidP="006C7BE7">
      <w:r>
        <w:separator/>
      </w:r>
    </w:p>
  </w:footnote>
  <w:footnote w:type="continuationSeparator" w:id="0">
    <w:p w:rsidR="006C7BE7" w:rsidRDefault="006C7BE7" w:rsidP="006C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BE7" w:rsidRDefault="006C7B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BE7" w:rsidRDefault="006C7BE7">
    <w:pPr>
      <w:pStyle w:val="Kopfzeile"/>
    </w:pPr>
    <w:r>
      <w:rPr>
        <w:noProof/>
      </w:rPr>
      <w:drawing>
        <wp:anchor distT="0" distB="0" distL="114300" distR="114300" simplePos="0" relativeHeight="251659264" behindDoc="0" locked="0" layoutInCell="1" allowOverlap="1" wp14:anchorId="484EEBA0" wp14:editId="16B230B8">
          <wp:simplePos x="0" y="0"/>
          <wp:positionH relativeFrom="page">
            <wp:posOffset>851535</wp:posOffset>
          </wp:positionH>
          <wp:positionV relativeFrom="page">
            <wp:posOffset>189865</wp:posOffset>
          </wp:positionV>
          <wp:extent cx="4105275" cy="269875"/>
          <wp:effectExtent l="0" t="0" r="9525" b="0"/>
          <wp:wrapTopAndBottom/>
          <wp:docPr id="4" name="Grafik 4" descr="Beschreibung: 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BE7" w:rsidRDefault="006C7B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A60C4"/>
    <w:rsid w:val="000D5D22"/>
    <w:rsid w:val="000D6068"/>
    <w:rsid w:val="000F22A1"/>
    <w:rsid w:val="00104280"/>
    <w:rsid w:val="0013782D"/>
    <w:rsid w:val="00176D67"/>
    <w:rsid w:val="0018477B"/>
    <w:rsid w:val="001865A6"/>
    <w:rsid w:val="001C09A0"/>
    <w:rsid w:val="001C20E7"/>
    <w:rsid w:val="001C55D0"/>
    <w:rsid w:val="001E6C75"/>
    <w:rsid w:val="0021671D"/>
    <w:rsid w:val="002265B7"/>
    <w:rsid w:val="00226C04"/>
    <w:rsid w:val="0026784F"/>
    <w:rsid w:val="002D1B6E"/>
    <w:rsid w:val="00304067"/>
    <w:rsid w:val="00304DCD"/>
    <w:rsid w:val="003A1C8B"/>
    <w:rsid w:val="003A496B"/>
    <w:rsid w:val="003C7D61"/>
    <w:rsid w:val="003D7948"/>
    <w:rsid w:val="004D1DCE"/>
    <w:rsid w:val="004F70C4"/>
    <w:rsid w:val="00566351"/>
    <w:rsid w:val="0061709D"/>
    <w:rsid w:val="00666933"/>
    <w:rsid w:val="00692E69"/>
    <w:rsid w:val="006C29B7"/>
    <w:rsid w:val="006C7BE7"/>
    <w:rsid w:val="00753D68"/>
    <w:rsid w:val="00756CB3"/>
    <w:rsid w:val="007C729F"/>
    <w:rsid w:val="007D4262"/>
    <w:rsid w:val="00806273"/>
    <w:rsid w:val="008336E4"/>
    <w:rsid w:val="00837274"/>
    <w:rsid w:val="00861043"/>
    <w:rsid w:val="00871097"/>
    <w:rsid w:val="0088770C"/>
    <w:rsid w:val="008953BC"/>
    <w:rsid w:val="00895E6C"/>
    <w:rsid w:val="009C47FB"/>
    <w:rsid w:val="009D5014"/>
    <w:rsid w:val="009E4A36"/>
    <w:rsid w:val="009F2EF5"/>
    <w:rsid w:val="00A13FB9"/>
    <w:rsid w:val="00A25A42"/>
    <w:rsid w:val="00A47EC4"/>
    <w:rsid w:val="00A95DDE"/>
    <w:rsid w:val="00AB17D0"/>
    <w:rsid w:val="00B8136A"/>
    <w:rsid w:val="00C2385F"/>
    <w:rsid w:val="00C7686A"/>
    <w:rsid w:val="00CD3641"/>
    <w:rsid w:val="00CF32DF"/>
    <w:rsid w:val="00D44C7A"/>
    <w:rsid w:val="00D462AA"/>
    <w:rsid w:val="00F0154F"/>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04D29"/>
  <w15:docId w15:val="{B790E4DB-3719-4425-B2B9-5485153A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6C7BE7"/>
    <w:pPr>
      <w:tabs>
        <w:tab w:val="center" w:pos="4536"/>
        <w:tab w:val="right" w:pos="9072"/>
      </w:tabs>
    </w:pPr>
  </w:style>
  <w:style w:type="character" w:customStyle="1" w:styleId="KopfzeileZchn">
    <w:name w:val="Kopfzeile Zchn"/>
    <w:basedOn w:val="Absatz-Standardschriftart"/>
    <w:link w:val="Kopfzeile"/>
    <w:rsid w:val="006C7BE7"/>
    <w:rPr>
      <w:sz w:val="24"/>
      <w:szCs w:val="24"/>
    </w:rPr>
  </w:style>
  <w:style w:type="paragraph" w:styleId="Fuzeile">
    <w:name w:val="footer"/>
    <w:basedOn w:val="Standard"/>
    <w:link w:val="FuzeileZchn"/>
    <w:rsid w:val="006C7BE7"/>
    <w:pPr>
      <w:tabs>
        <w:tab w:val="center" w:pos="4536"/>
        <w:tab w:val="right" w:pos="9072"/>
      </w:tabs>
    </w:pPr>
  </w:style>
  <w:style w:type="character" w:customStyle="1" w:styleId="FuzeileZchn">
    <w:name w:val="Fußzeile Zchn"/>
    <w:basedOn w:val="Absatz-Standardschriftart"/>
    <w:link w:val="Fuzeile"/>
    <w:rsid w:val="006C7BE7"/>
    <w:rPr>
      <w:sz w:val="24"/>
      <w:szCs w:val="24"/>
    </w:rPr>
  </w:style>
  <w:style w:type="paragraph" w:customStyle="1" w:styleId="VERAStandardtext">
    <w:name w:val="VERA Standardtext"/>
    <w:link w:val="VERAStandardtextZchn"/>
    <w:rsid w:val="00895E6C"/>
    <w:pPr>
      <w:spacing w:after="60" w:line="240" w:lineRule="exact"/>
      <w:jc w:val="both"/>
    </w:pPr>
    <w:rPr>
      <w:rFonts w:ascii="Arial" w:hAnsi="Arial"/>
      <w:sz w:val="22"/>
      <w:szCs w:val="24"/>
    </w:rPr>
  </w:style>
  <w:style w:type="character" w:customStyle="1" w:styleId="VERAStandardtextZchn">
    <w:name w:val="VERA Standardtext Zchn"/>
    <w:link w:val="VERAStandardtext"/>
    <w:rsid w:val="00895E6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11</cp:revision>
  <cp:lastPrinted>2007-01-11T14:25:00Z</cp:lastPrinted>
  <dcterms:created xsi:type="dcterms:W3CDTF">2020-12-23T09:25:00Z</dcterms:created>
  <dcterms:modified xsi:type="dcterms:W3CDTF">2022-02-02T13:34:00Z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