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51" w:rsidRPr="00107A29" w:rsidRDefault="00FA559A" w:rsidP="00107A29">
      <w:pPr>
        <w:pStyle w:val="IQB-Aufgabentitel"/>
        <w:spacing w:after="120"/>
        <w:rPr>
          <w:rFonts w:cs="Arial"/>
          <w:szCs w:val="28"/>
        </w:rPr>
      </w:pPr>
      <w:r w:rsidRPr="00107A29">
        <w:rPr>
          <w:rFonts w:cs="Arial"/>
          <w:szCs w:val="28"/>
        </w:rPr>
        <w:t xml:space="preserve">Didaktische </w:t>
      </w:r>
      <w:r w:rsidR="00C23F07">
        <w:rPr>
          <w:rFonts w:cs="Arial"/>
          <w:szCs w:val="28"/>
        </w:rPr>
        <w:t>Kommentierung</w:t>
      </w:r>
      <w:r w:rsidRPr="00107A29">
        <w:rPr>
          <w:rFonts w:cs="Arial"/>
          <w:szCs w:val="28"/>
        </w:rPr>
        <w:t xml:space="preserve">: </w:t>
      </w:r>
      <w:r w:rsidR="00AB09BA" w:rsidRPr="00107A29">
        <w:rPr>
          <w:rFonts w:cs="Arial"/>
          <w:szCs w:val="28"/>
        </w:rPr>
        <w:t>Aufgabe</w:t>
      </w:r>
      <w:r w:rsidRPr="00107A29">
        <w:rPr>
          <w:rFonts w:cs="Arial"/>
          <w:szCs w:val="28"/>
        </w:rPr>
        <w:t xml:space="preserve"> </w:t>
      </w:r>
      <w:r w:rsidR="00AB09BA" w:rsidRPr="00107A29">
        <w:rPr>
          <w:rFonts w:cs="Arial"/>
          <w:szCs w:val="28"/>
        </w:rPr>
        <w:t>Balkenwaage Tassen</w:t>
      </w:r>
    </w:p>
    <w:p w:rsidR="00107A29" w:rsidRPr="00107A29" w:rsidRDefault="00107A29" w:rsidP="00107A29">
      <w:pPr>
        <w:pStyle w:val="IQB-Aufgabentitel"/>
        <w:spacing w:after="120"/>
        <w:rPr>
          <w:rFonts w:cs="Arial"/>
          <w:sz w:val="22"/>
          <w:szCs w:val="22"/>
        </w:rPr>
      </w:pPr>
    </w:p>
    <w:p w:rsidR="00FA559A" w:rsidRPr="00107A29" w:rsidRDefault="00FA559A" w:rsidP="00107A29">
      <w:pPr>
        <w:pStyle w:val="IQB-Aufgabentitel"/>
        <w:spacing w:after="120"/>
        <w:rPr>
          <w:rFonts w:cs="Arial"/>
          <w:b/>
          <w:sz w:val="22"/>
          <w:szCs w:val="22"/>
        </w:rPr>
      </w:pPr>
      <w:r w:rsidRPr="00107A29">
        <w:rPr>
          <w:rFonts w:cs="Arial"/>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C94C51" w:rsidRPr="00107A29">
        <w:tc>
          <w:tcPr>
            <w:tcW w:w="2040" w:type="dxa"/>
            <w:vAlign w:val="center"/>
          </w:tcPr>
          <w:p w:rsidR="00C94C51" w:rsidRPr="00107A29" w:rsidRDefault="00AB09BA" w:rsidP="00107A29">
            <w:pPr>
              <w:pStyle w:val="IQB-Merkmal"/>
              <w:spacing w:before="0" w:after="120"/>
              <w:rPr>
                <w:rFonts w:cs="Arial"/>
                <w:sz w:val="20"/>
                <w:szCs w:val="20"/>
              </w:rPr>
            </w:pPr>
            <w:r w:rsidRPr="00107A29">
              <w:rPr>
                <w:rFonts w:cs="Arial"/>
                <w:sz w:val="20"/>
                <w:szCs w:val="20"/>
              </w:rPr>
              <w:t>Leitidee</w:t>
            </w:r>
          </w:p>
        </w:tc>
        <w:tc>
          <w:tcPr>
            <w:tcW w:w="7086" w:type="dxa"/>
          </w:tcPr>
          <w:p w:rsidR="00C94C51" w:rsidRPr="00107A29" w:rsidRDefault="00AB09BA" w:rsidP="00107A29">
            <w:pPr>
              <w:pStyle w:val="IQB-Merkmalswert"/>
              <w:spacing w:before="0" w:after="120"/>
              <w:rPr>
                <w:rFonts w:cs="Arial"/>
                <w:sz w:val="20"/>
                <w:szCs w:val="20"/>
              </w:rPr>
            </w:pPr>
            <w:r w:rsidRPr="00107A29">
              <w:rPr>
                <w:rFonts w:cs="Arial"/>
                <w:sz w:val="20"/>
                <w:szCs w:val="20"/>
              </w:rPr>
              <w:t>Größen und Messen</w:t>
            </w:r>
          </w:p>
        </w:tc>
      </w:tr>
      <w:tr w:rsidR="00C94C51" w:rsidRPr="00107A29">
        <w:tc>
          <w:tcPr>
            <w:tcW w:w="2040" w:type="dxa"/>
            <w:vAlign w:val="center"/>
          </w:tcPr>
          <w:p w:rsidR="00C94C51" w:rsidRPr="00107A29" w:rsidRDefault="00AB09BA" w:rsidP="00107A29">
            <w:pPr>
              <w:pStyle w:val="IQB-Merkmal"/>
              <w:spacing w:before="0" w:after="120"/>
              <w:rPr>
                <w:rFonts w:cs="Arial"/>
                <w:sz w:val="20"/>
                <w:szCs w:val="20"/>
              </w:rPr>
            </w:pPr>
            <w:r w:rsidRPr="00107A29">
              <w:rPr>
                <w:rFonts w:cs="Arial"/>
                <w:sz w:val="20"/>
                <w:szCs w:val="20"/>
              </w:rPr>
              <w:t>Bildungsstandard/s - Allgemeine Kompetenzen</w:t>
            </w:r>
          </w:p>
        </w:tc>
        <w:tc>
          <w:tcPr>
            <w:tcW w:w="7086" w:type="dxa"/>
          </w:tcPr>
          <w:p w:rsidR="00C94C51" w:rsidRPr="00107A29" w:rsidRDefault="00AB09BA" w:rsidP="00107A29">
            <w:pPr>
              <w:pStyle w:val="IQB-Merkmalswert"/>
              <w:spacing w:before="0" w:after="120"/>
              <w:rPr>
                <w:rFonts w:cs="Arial"/>
                <w:sz w:val="20"/>
                <w:szCs w:val="20"/>
              </w:rPr>
            </w:pPr>
            <w:r w:rsidRPr="00107A29">
              <w:rPr>
                <w:rFonts w:cs="Arial"/>
                <w:sz w:val="20"/>
                <w:szCs w:val="20"/>
              </w:rPr>
              <w:t>mathematische Kenntnisse, Fertigkeiten und Fähigkeiten bei der Bearbeitung problemhaltiger Aufgaben anwenden</w:t>
            </w:r>
          </w:p>
        </w:tc>
      </w:tr>
      <w:tr w:rsidR="00C94C51" w:rsidRPr="00107A29">
        <w:tc>
          <w:tcPr>
            <w:tcW w:w="2040" w:type="dxa"/>
            <w:vAlign w:val="center"/>
          </w:tcPr>
          <w:p w:rsidR="00C94C51" w:rsidRPr="00107A29" w:rsidRDefault="00AB09BA" w:rsidP="00107A29">
            <w:pPr>
              <w:pStyle w:val="IQB-Merkmal"/>
              <w:spacing w:before="0" w:after="120"/>
              <w:rPr>
                <w:rFonts w:cs="Arial"/>
                <w:sz w:val="20"/>
                <w:szCs w:val="20"/>
              </w:rPr>
            </w:pPr>
            <w:r w:rsidRPr="00107A29">
              <w:rPr>
                <w:rFonts w:cs="Arial"/>
                <w:sz w:val="20"/>
                <w:szCs w:val="20"/>
              </w:rPr>
              <w:t>Bildungsstandard/s - Inhaltsbezogene Kompetenzen (Leitideen)</w:t>
            </w:r>
          </w:p>
        </w:tc>
        <w:tc>
          <w:tcPr>
            <w:tcW w:w="7086" w:type="dxa"/>
          </w:tcPr>
          <w:p w:rsidR="00C94C51" w:rsidRPr="00107A29" w:rsidRDefault="00AB09BA" w:rsidP="00107A29">
            <w:pPr>
              <w:pStyle w:val="IQB-Merkmalswert"/>
              <w:spacing w:before="0" w:after="120"/>
              <w:rPr>
                <w:rFonts w:cs="Arial"/>
                <w:sz w:val="20"/>
                <w:szCs w:val="20"/>
              </w:rPr>
            </w:pPr>
            <w:r w:rsidRPr="00107A29">
              <w:rPr>
                <w:rFonts w:cs="Arial"/>
                <w:sz w:val="20"/>
                <w:szCs w:val="20"/>
              </w:rPr>
              <w:t>mit geeigneten Einheiten und unterschiedlichen Messgeräten sachgerecht messen; Sachaufgaben mit Größen lösen</w:t>
            </w:r>
          </w:p>
        </w:tc>
      </w:tr>
      <w:tr w:rsidR="002712B8" w:rsidRPr="00107A29">
        <w:tc>
          <w:tcPr>
            <w:tcW w:w="2040" w:type="dxa"/>
            <w:vAlign w:val="center"/>
          </w:tcPr>
          <w:p w:rsidR="002712B8" w:rsidRPr="00107A29" w:rsidRDefault="002712B8" w:rsidP="00107A29">
            <w:pPr>
              <w:pStyle w:val="IQB-Merkmal"/>
              <w:spacing w:before="0" w:after="120"/>
              <w:rPr>
                <w:rFonts w:cs="Arial"/>
                <w:sz w:val="20"/>
                <w:szCs w:val="20"/>
              </w:rPr>
            </w:pPr>
            <w:r>
              <w:rPr>
                <w:rFonts w:cs="Arial"/>
                <w:sz w:val="20"/>
                <w:szCs w:val="20"/>
              </w:rPr>
              <w:t>Kompetenzstufe</w:t>
            </w:r>
          </w:p>
        </w:tc>
        <w:tc>
          <w:tcPr>
            <w:tcW w:w="7086" w:type="dxa"/>
          </w:tcPr>
          <w:p w:rsidR="002712B8" w:rsidRPr="00107A29" w:rsidRDefault="002712B8" w:rsidP="00107A29">
            <w:pPr>
              <w:pStyle w:val="IQB-Merkmalswert"/>
              <w:spacing w:before="0" w:after="120"/>
              <w:rPr>
                <w:rFonts w:cs="Arial"/>
                <w:sz w:val="20"/>
                <w:szCs w:val="20"/>
              </w:rPr>
            </w:pPr>
            <w:r>
              <w:rPr>
                <w:rFonts w:cs="Arial"/>
                <w:sz w:val="20"/>
                <w:szCs w:val="20"/>
              </w:rPr>
              <w:t>III</w:t>
            </w:r>
          </w:p>
        </w:tc>
      </w:tr>
      <w:tr w:rsidR="00C94C51" w:rsidRPr="00107A29">
        <w:tc>
          <w:tcPr>
            <w:tcW w:w="2040" w:type="dxa"/>
            <w:vAlign w:val="center"/>
          </w:tcPr>
          <w:p w:rsidR="00C94C51" w:rsidRPr="00107A29" w:rsidRDefault="00AB09BA" w:rsidP="00107A29">
            <w:pPr>
              <w:pStyle w:val="IQB-Merkmal"/>
              <w:spacing w:before="0" w:after="120"/>
              <w:rPr>
                <w:rFonts w:cs="Arial"/>
                <w:sz w:val="20"/>
                <w:szCs w:val="20"/>
              </w:rPr>
            </w:pPr>
            <w:r w:rsidRPr="00107A29">
              <w:rPr>
                <w:rFonts w:cs="Arial"/>
                <w:sz w:val="20"/>
                <w:szCs w:val="20"/>
              </w:rPr>
              <w:t>Anforderungsbereich</w:t>
            </w:r>
          </w:p>
        </w:tc>
        <w:tc>
          <w:tcPr>
            <w:tcW w:w="7086" w:type="dxa"/>
          </w:tcPr>
          <w:p w:rsidR="00C94C51" w:rsidRPr="00107A29" w:rsidRDefault="00AB09BA" w:rsidP="00107A29">
            <w:pPr>
              <w:pStyle w:val="IQB-Merkmalswert"/>
              <w:spacing w:before="0" w:after="120"/>
              <w:rPr>
                <w:rFonts w:cs="Arial"/>
                <w:sz w:val="20"/>
                <w:szCs w:val="20"/>
              </w:rPr>
            </w:pPr>
            <w:r w:rsidRPr="00107A29">
              <w:rPr>
                <w:rFonts w:cs="Arial"/>
                <w:sz w:val="20"/>
                <w:szCs w:val="20"/>
              </w:rPr>
              <w:t>Zusammenhänge herstellen (II)</w:t>
            </w:r>
          </w:p>
        </w:tc>
      </w:tr>
    </w:tbl>
    <w:p w:rsidR="00107A29" w:rsidRDefault="00107A29" w:rsidP="00107A29">
      <w:pPr>
        <w:spacing w:after="120"/>
        <w:rPr>
          <w:rFonts w:ascii="Arial" w:hAnsi="Arial" w:cs="Arial"/>
          <w:sz w:val="22"/>
          <w:szCs w:val="22"/>
        </w:rPr>
      </w:pPr>
    </w:p>
    <w:p w:rsidR="00107A29" w:rsidRPr="00107A29" w:rsidRDefault="003411C4" w:rsidP="00107A29">
      <w:pPr>
        <w:spacing w:after="120"/>
        <w:rPr>
          <w:rFonts w:ascii="Arial" w:hAnsi="Arial" w:cs="Arial"/>
          <w:b/>
          <w:sz w:val="22"/>
          <w:szCs w:val="22"/>
        </w:rPr>
      </w:pPr>
      <w:r>
        <w:rPr>
          <w:rFonts w:ascii="Arial" w:hAnsi="Arial" w:cs="Arial"/>
          <w:b/>
          <w:sz w:val="22"/>
          <w:szCs w:val="22"/>
        </w:rPr>
        <w:t>Aufgabenbezogener Kommentar</w:t>
      </w:r>
    </w:p>
    <w:p w:rsidR="00107A29" w:rsidRPr="00107A29" w:rsidRDefault="00107A29" w:rsidP="00107A29">
      <w:pPr>
        <w:spacing w:after="120"/>
        <w:rPr>
          <w:rFonts w:ascii="Arial" w:hAnsi="Arial" w:cs="Arial"/>
          <w:sz w:val="22"/>
          <w:szCs w:val="22"/>
        </w:rPr>
      </w:pPr>
      <w:r w:rsidRPr="00107A29">
        <w:rPr>
          <w:rFonts w:ascii="Arial" w:hAnsi="Arial" w:cs="Arial"/>
          <w:sz w:val="22"/>
          <w:szCs w:val="22"/>
        </w:rPr>
        <w:t>Um die Aufgabe lösen zu können, muss zunächst grundlegend der Zusammenhang zwischen der im Gleichgewicht befindlichen Waage und der Gleichheit der Summe der links und rechts aufgelegten Gewichte klar sein. Den Schülerinnen und Schülern muss zudem klar sein, dass das durch Wegnahme einer Tasse entstandene Ungleichgewicht durch Entfernen von Würfeln auf der Gegenseite ausgeglichen werden kann bzw. soll.</w:t>
      </w:r>
    </w:p>
    <w:p w:rsidR="00107A29" w:rsidRPr="00107A29" w:rsidRDefault="00107A29" w:rsidP="00107A29">
      <w:pPr>
        <w:spacing w:after="120"/>
        <w:rPr>
          <w:rFonts w:ascii="Arial" w:hAnsi="Arial" w:cs="Arial"/>
          <w:sz w:val="22"/>
          <w:szCs w:val="22"/>
        </w:rPr>
      </w:pPr>
      <w:r w:rsidRPr="00107A29">
        <w:rPr>
          <w:rFonts w:ascii="Arial" w:hAnsi="Arial" w:cs="Arial"/>
          <w:sz w:val="22"/>
          <w:szCs w:val="22"/>
        </w:rPr>
        <w:t>Die Lösung ergibt sich dann durch Nutzung der proportionalen Zuordnung des Gewichts der Würfel zum Gewicht der Tassen:</w:t>
      </w:r>
    </w:p>
    <w:p w:rsidR="00107A29" w:rsidRDefault="00107A29" w:rsidP="00107A29">
      <w:pPr>
        <w:pStyle w:val="Listenabsatz"/>
        <w:numPr>
          <w:ilvl w:val="0"/>
          <w:numId w:val="3"/>
        </w:numPr>
        <w:spacing w:after="120"/>
        <w:rPr>
          <w:rFonts w:ascii="Arial" w:hAnsi="Arial" w:cs="Arial"/>
          <w:sz w:val="22"/>
          <w:szCs w:val="22"/>
        </w:rPr>
      </w:pPr>
      <w:r w:rsidRPr="00107A29">
        <w:rPr>
          <w:rFonts w:ascii="Arial" w:hAnsi="Arial" w:cs="Arial"/>
          <w:sz w:val="22"/>
          <w:szCs w:val="22"/>
        </w:rPr>
        <w:t>Das Gewicht von 3 Tassen entspricht dem Gewicht von 9 Würfeln.</w:t>
      </w:r>
    </w:p>
    <w:p w:rsidR="00107A29" w:rsidRDefault="00107A29" w:rsidP="00107A29">
      <w:pPr>
        <w:pStyle w:val="Listenabsatz"/>
        <w:numPr>
          <w:ilvl w:val="0"/>
          <w:numId w:val="3"/>
        </w:numPr>
        <w:spacing w:after="120"/>
        <w:rPr>
          <w:rFonts w:ascii="Arial" w:hAnsi="Arial" w:cs="Arial"/>
          <w:sz w:val="22"/>
          <w:szCs w:val="22"/>
        </w:rPr>
      </w:pPr>
      <w:r w:rsidRPr="00107A29">
        <w:rPr>
          <w:rFonts w:ascii="Arial" w:hAnsi="Arial" w:cs="Arial"/>
          <w:sz w:val="22"/>
          <w:szCs w:val="22"/>
        </w:rPr>
        <w:t>Das Gewicht von 1 Tasse entspricht dem Gewicht von 3 Würfeln.</w:t>
      </w:r>
    </w:p>
    <w:p w:rsidR="00107A29" w:rsidRPr="003411C4" w:rsidRDefault="00107A29" w:rsidP="00107A29">
      <w:pPr>
        <w:pStyle w:val="Listenabsatz"/>
        <w:numPr>
          <w:ilvl w:val="0"/>
          <w:numId w:val="3"/>
        </w:numPr>
        <w:spacing w:after="120"/>
        <w:rPr>
          <w:rFonts w:ascii="Arial" w:hAnsi="Arial" w:cs="Arial"/>
          <w:sz w:val="22"/>
          <w:szCs w:val="22"/>
        </w:rPr>
      </w:pPr>
      <w:r w:rsidRPr="00107A29">
        <w:rPr>
          <w:rFonts w:ascii="Arial" w:hAnsi="Arial" w:cs="Arial"/>
          <w:sz w:val="22"/>
          <w:szCs w:val="22"/>
        </w:rPr>
        <w:t xml:space="preserve">Damit ist klar, dass 3 Würfel entfernt werden müssen, um das Gleichgewicht </w:t>
      </w:r>
      <w:proofErr w:type="gramStart"/>
      <w:r w:rsidRPr="00107A29">
        <w:rPr>
          <w:rFonts w:ascii="Arial" w:hAnsi="Arial" w:cs="Arial"/>
          <w:sz w:val="22"/>
          <w:szCs w:val="22"/>
        </w:rPr>
        <w:t>wieder</w:t>
      </w:r>
      <w:r>
        <w:rPr>
          <w:rFonts w:ascii="Arial" w:hAnsi="Arial" w:cs="Arial"/>
          <w:sz w:val="22"/>
          <w:szCs w:val="22"/>
        </w:rPr>
        <w:t xml:space="preserve"> </w:t>
      </w:r>
      <w:r w:rsidRPr="00107A29">
        <w:rPr>
          <w:rFonts w:ascii="Arial" w:hAnsi="Arial" w:cs="Arial"/>
          <w:sz w:val="22"/>
          <w:szCs w:val="22"/>
        </w:rPr>
        <w:t>herzustellen</w:t>
      </w:r>
      <w:proofErr w:type="gramEnd"/>
      <w:r w:rsidRPr="00107A29">
        <w:rPr>
          <w:rFonts w:ascii="Arial" w:hAnsi="Arial" w:cs="Arial"/>
          <w:sz w:val="22"/>
          <w:szCs w:val="22"/>
        </w:rPr>
        <w:t>.</w:t>
      </w:r>
    </w:p>
    <w:p w:rsidR="00137646" w:rsidRDefault="00137646" w:rsidP="00107A29">
      <w:pPr>
        <w:spacing w:after="120"/>
        <w:rPr>
          <w:rFonts w:ascii="Arial" w:hAnsi="Arial" w:cs="Arial"/>
          <w:sz w:val="22"/>
          <w:szCs w:val="22"/>
        </w:rPr>
      </w:pPr>
      <w:bookmarkStart w:id="0" w:name="_GoBack"/>
      <w:bookmarkEnd w:id="0"/>
    </w:p>
    <w:p w:rsidR="00137646" w:rsidRPr="00137646" w:rsidRDefault="00137646" w:rsidP="00107A29">
      <w:pPr>
        <w:spacing w:after="120"/>
        <w:rPr>
          <w:rFonts w:ascii="Arial" w:hAnsi="Arial" w:cs="Arial"/>
          <w:b/>
          <w:sz w:val="22"/>
          <w:szCs w:val="22"/>
        </w:rPr>
      </w:pPr>
      <w:r w:rsidRPr="00137646">
        <w:rPr>
          <w:rFonts w:ascii="Arial" w:hAnsi="Arial" w:cs="Arial"/>
          <w:b/>
          <w:sz w:val="22"/>
          <w:szCs w:val="22"/>
        </w:rPr>
        <w:t>Mögliche Schwierigkeiten</w:t>
      </w:r>
    </w:p>
    <w:p w:rsidR="00107A29" w:rsidRDefault="00107A29" w:rsidP="00107A29">
      <w:pPr>
        <w:spacing w:after="120"/>
        <w:rPr>
          <w:rFonts w:ascii="Arial" w:hAnsi="Arial" w:cs="Arial"/>
          <w:sz w:val="22"/>
          <w:szCs w:val="22"/>
        </w:rPr>
      </w:pPr>
      <w:r w:rsidRPr="00107A29">
        <w:rPr>
          <w:rFonts w:ascii="Arial" w:hAnsi="Arial" w:cs="Arial"/>
          <w:sz w:val="22"/>
          <w:szCs w:val="22"/>
        </w:rPr>
        <w:t xml:space="preserve">Kinder, die bislang lediglich den mittelbaren Vergleich des Gewichts zweier Gegenstände über die normierte Maßeinheit „Gramm“ kennen gelernt haben (z. B. mit einer elektronischen Waage), könnten Probleme mit dem geforderten unmittelbaren Vergleich haben. Zudem </w:t>
      </w:r>
      <w:proofErr w:type="gramStart"/>
      <w:r w:rsidRPr="00107A29">
        <w:rPr>
          <w:rFonts w:ascii="Arial" w:hAnsi="Arial" w:cs="Arial"/>
          <w:sz w:val="22"/>
          <w:szCs w:val="22"/>
        </w:rPr>
        <w:t>kann</w:t>
      </w:r>
      <w:proofErr w:type="gramEnd"/>
      <w:r w:rsidRPr="00107A29">
        <w:rPr>
          <w:rFonts w:ascii="Arial" w:hAnsi="Arial" w:cs="Arial"/>
          <w:sz w:val="22"/>
          <w:szCs w:val="22"/>
        </w:rPr>
        <w:t xml:space="preserve"> die Findung und Nutzung der erforderlichen proportionalen Zuordnung Schwierigkeiten bereiten.</w:t>
      </w:r>
    </w:p>
    <w:p w:rsidR="00107A29" w:rsidRPr="00107A29" w:rsidRDefault="00107A29" w:rsidP="00107A29">
      <w:pPr>
        <w:spacing w:after="120"/>
        <w:rPr>
          <w:rFonts w:ascii="Arial" w:hAnsi="Arial" w:cs="Arial"/>
          <w:sz w:val="22"/>
          <w:szCs w:val="22"/>
        </w:rPr>
      </w:pPr>
    </w:p>
    <w:p w:rsidR="00107A29" w:rsidRPr="00107A29" w:rsidRDefault="003411C4" w:rsidP="00107A29">
      <w:pPr>
        <w:spacing w:after="120"/>
        <w:rPr>
          <w:rFonts w:ascii="Arial" w:hAnsi="Arial" w:cs="Arial"/>
          <w:b/>
          <w:sz w:val="22"/>
          <w:szCs w:val="22"/>
        </w:rPr>
      </w:pPr>
      <w:r>
        <w:rPr>
          <w:rFonts w:ascii="Arial" w:hAnsi="Arial" w:cs="Arial"/>
          <w:b/>
          <w:sz w:val="22"/>
          <w:szCs w:val="22"/>
        </w:rPr>
        <w:t>Anregungen für den Unterricht</w:t>
      </w:r>
    </w:p>
    <w:p w:rsidR="00107A29" w:rsidRPr="00107A29" w:rsidRDefault="00107A29" w:rsidP="00107A29">
      <w:pPr>
        <w:spacing w:after="120"/>
        <w:rPr>
          <w:rFonts w:ascii="Arial" w:hAnsi="Arial" w:cs="Arial"/>
          <w:sz w:val="22"/>
          <w:szCs w:val="22"/>
        </w:rPr>
      </w:pPr>
      <w:r w:rsidRPr="00107A29">
        <w:rPr>
          <w:rFonts w:ascii="Arial" w:hAnsi="Arial" w:cs="Arial"/>
          <w:sz w:val="22"/>
          <w:szCs w:val="22"/>
        </w:rPr>
        <w:t xml:space="preserve">Für Kinder mit Schwierigkeiten bei dieser Aufgabe ist der handelnde Umgang mit einer realen Balkenwaage hilfreich. Das „Nachspielen“ der Situation kann variantenreich umgesetzt werden und führt zu einem (vertieften) Verständnis des richtigen Lösungswegs. </w:t>
      </w:r>
    </w:p>
    <w:p w:rsidR="00107A29" w:rsidRDefault="00107A29" w:rsidP="00107A29">
      <w:pPr>
        <w:spacing w:after="120"/>
        <w:rPr>
          <w:rFonts w:ascii="Arial" w:hAnsi="Arial" w:cs="Arial"/>
          <w:sz w:val="22"/>
          <w:szCs w:val="22"/>
        </w:rPr>
      </w:pPr>
      <w:r w:rsidRPr="00107A29">
        <w:rPr>
          <w:rFonts w:ascii="Arial" w:hAnsi="Arial" w:cs="Arial"/>
          <w:sz w:val="22"/>
          <w:szCs w:val="22"/>
        </w:rPr>
        <w:t xml:space="preserve">Dabei ergibt sich automatisch ein guter Anknüpfungspunkt für die handelnde Erarbeitung der proportionalen Zuordnung: </w:t>
      </w:r>
    </w:p>
    <w:p w:rsidR="00AB09BA" w:rsidRPr="00AB09BA" w:rsidRDefault="00AB09BA" w:rsidP="00107A29">
      <w:pPr>
        <w:spacing w:after="120"/>
        <w:rPr>
          <w:rFonts w:ascii="Arial" w:hAnsi="Arial" w:cs="Arial"/>
          <w:sz w:val="10"/>
          <w:szCs w:val="10"/>
        </w:rPr>
      </w:pPr>
    </w:p>
    <w:tbl>
      <w:tblPr>
        <w:tblW w:w="802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56"/>
        <w:gridCol w:w="1213"/>
        <w:gridCol w:w="1214"/>
        <w:gridCol w:w="1213"/>
        <w:gridCol w:w="1214"/>
        <w:gridCol w:w="1214"/>
      </w:tblGrid>
      <w:tr w:rsidR="00AB09BA" w:rsidRPr="00AB09BA" w:rsidTr="000B15F4">
        <w:tc>
          <w:tcPr>
            <w:tcW w:w="1956"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Tassen</w:t>
            </w:r>
          </w:p>
        </w:tc>
        <w:tc>
          <w:tcPr>
            <w:tcW w:w="1213"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1</w:t>
            </w:r>
          </w:p>
        </w:tc>
        <w:tc>
          <w:tcPr>
            <w:tcW w:w="1214"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3</w:t>
            </w:r>
          </w:p>
        </w:tc>
        <w:tc>
          <w:tcPr>
            <w:tcW w:w="1213"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5</w:t>
            </w:r>
          </w:p>
        </w:tc>
        <w:tc>
          <w:tcPr>
            <w:tcW w:w="1214"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10</w:t>
            </w:r>
          </w:p>
        </w:tc>
        <w:tc>
          <w:tcPr>
            <w:tcW w:w="1214"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w:t>
            </w:r>
          </w:p>
        </w:tc>
      </w:tr>
      <w:tr w:rsidR="00AB09BA" w:rsidRPr="00AB09BA" w:rsidTr="000B15F4">
        <w:tc>
          <w:tcPr>
            <w:tcW w:w="1956"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Würfel</w:t>
            </w:r>
          </w:p>
        </w:tc>
        <w:tc>
          <w:tcPr>
            <w:tcW w:w="1213"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3</w:t>
            </w:r>
          </w:p>
        </w:tc>
        <w:tc>
          <w:tcPr>
            <w:tcW w:w="1214"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9</w:t>
            </w:r>
          </w:p>
        </w:tc>
        <w:tc>
          <w:tcPr>
            <w:tcW w:w="1213"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15</w:t>
            </w:r>
          </w:p>
        </w:tc>
        <w:tc>
          <w:tcPr>
            <w:tcW w:w="1214"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30</w:t>
            </w:r>
          </w:p>
        </w:tc>
        <w:tc>
          <w:tcPr>
            <w:tcW w:w="1214"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w:t>
            </w:r>
          </w:p>
        </w:tc>
      </w:tr>
    </w:tbl>
    <w:p w:rsidR="00AB09BA" w:rsidRPr="00AB09BA" w:rsidRDefault="00AB09BA" w:rsidP="00107A29">
      <w:pPr>
        <w:spacing w:after="120"/>
        <w:rPr>
          <w:rFonts w:ascii="Arial" w:hAnsi="Arial" w:cs="Arial"/>
          <w:sz w:val="10"/>
          <w:szCs w:val="10"/>
        </w:rPr>
      </w:pPr>
    </w:p>
    <w:p w:rsidR="00107A29" w:rsidRDefault="00107A29" w:rsidP="00107A29">
      <w:pPr>
        <w:spacing w:after="120"/>
        <w:rPr>
          <w:rFonts w:ascii="Arial" w:hAnsi="Arial" w:cs="Arial"/>
          <w:sz w:val="22"/>
          <w:szCs w:val="22"/>
        </w:rPr>
      </w:pPr>
      <w:r w:rsidRPr="00107A29">
        <w:rPr>
          <w:rFonts w:ascii="Arial" w:hAnsi="Arial" w:cs="Arial"/>
          <w:sz w:val="22"/>
          <w:szCs w:val="22"/>
        </w:rPr>
        <w:t xml:space="preserve">Es wird klar, dass einer Anzahl Tassen immer die dreifache Menge an Würfeln gegenüber liegen muss. Dies lässt sich natürlich auch mit beliebigen anderen, jeweils gleich schweren </w:t>
      </w:r>
      <w:r w:rsidRPr="00107A29">
        <w:rPr>
          <w:rFonts w:ascii="Arial" w:hAnsi="Arial" w:cs="Arial"/>
          <w:sz w:val="22"/>
          <w:szCs w:val="22"/>
        </w:rPr>
        <w:lastRenderedPageBreak/>
        <w:t xml:space="preserve">Gegenständen durchführen (z. B. Büroklammern, Tischtennisbällen oder normierten Gewichtsstücken), bei denen sich ggf. andere proportionale Zuordnungen ergeben. </w:t>
      </w:r>
    </w:p>
    <w:p w:rsidR="00107A29" w:rsidRPr="00107A29" w:rsidRDefault="00107A29" w:rsidP="00107A29">
      <w:pPr>
        <w:spacing w:after="120"/>
        <w:rPr>
          <w:rFonts w:ascii="Arial" w:hAnsi="Arial" w:cs="Arial"/>
          <w:sz w:val="22"/>
          <w:szCs w:val="22"/>
        </w:rPr>
      </w:pPr>
    </w:p>
    <w:p w:rsidR="00107A29" w:rsidRPr="00107A29" w:rsidRDefault="00107A29" w:rsidP="00107A29">
      <w:pPr>
        <w:spacing w:after="120"/>
        <w:rPr>
          <w:rFonts w:ascii="Arial" w:hAnsi="Arial" w:cs="Arial"/>
          <w:sz w:val="22"/>
          <w:szCs w:val="22"/>
        </w:rPr>
      </w:pPr>
      <w:r w:rsidRPr="00107A29">
        <w:rPr>
          <w:rFonts w:ascii="Arial" w:hAnsi="Arial" w:cs="Arial"/>
          <w:sz w:val="22"/>
          <w:szCs w:val="22"/>
        </w:rPr>
        <w:t>Ergänzende, weiterführende bzw. vertiefende Fragestellungen könnten sein:</w:t>
      </w:r>
    </w:p>
    <w:p w:rsidR="00107A29" w:rsidRDefault="00107A29" w:rsidP="00107A29">
      <w:pPr>
        <w:pStyle w:val="Listenabsatz"/>
        <w:numPr>
          <w:ilvl w:val="0"/>
          <w:numId w:val="4"/>
        </w:numPr>
        <w:spacing w:after="120"/>
        <w:rPr>
          <w:rFonts w:ascii="Arial" w:hAnsi="Arial" w:cs="Arial"/>
          <w:sz w:val="22"/>
          <w:szCs w:val="22"/>
        </w:rPr>
      </w:pPr>
      <w:r w:rsidRPr="00107A29">
        <w:rPr>
          <w:rFonts w:ascii="Arial" w:hAnsi="Arial" w:cs="Arial"/>
          <w:sz w:val="22"/>
          <w:szCs w:val="22"/>
        </w:rPr>
        <w:t>„Kann eine Tasse auf der rechten Waagschale einfach durch drei Würfel ersetzt werden, ohne das Gleichgewicht zu stören?“ (Dies ist natürlich möglich.)</w:t>
      </w:r>
    </w:p>
    <w:p w:rsidR="00107A29" w:rsidRDefault="00107A29" w:rsidP="00107A29">
      <w:pPr>
        <w:pStyle w:val="Listenabsatz"/>
        <w:numPr>
          <w:ilvl w:val="0"/>
          <w:numId w:val="4"/>
        </w:numPr>
        <w:spacing w:after="120"/>
        <w:rPr>
          <w:rFonts w:ascii="Arial" w:hAnsi="Arial" w:cs="Arial"/>
          <w:sz w:val="22"/>
          <w:szCs w:val="22"/>
        </w:rPr>
      </w:pPr>
      <w:r w:rsidRPr="00107A29">
        <w:rPr>
          <w:rFonts w:ascii="Arial" w:hAnsi="Arial" w:cs="Arial"/>
          <w:sz w:val="22"/>
          <w:szCs w:val="22"/>
        </w:rPr>
        <w:t xml:space="preserve">„Wie viele halb so schwere Würfel müssten jeweils aufgelegt werden?“ Es ergibt sich eine veränderte Zuordnung mit doppelter Anzahl bei den Würfeln. </w:t>
      </w:r>
    </w:p>
    <w:p w:rsidR="00107A29" w:rsidRDefault="00107A29" w:rsidP="00107A29">
      <w:pPr>
        <w:pStyle w:val="Listenabsatz"/>
        <w:numPr>
          <w:ilvl w:val="0"/>
          <w:numId w:val="4"/>
        </w:numPr>
        <w:spacing w:after="120"/>
        <w:rPr>
          <w:rFonts w:ascii="Arial" w:hAnsi="Arial" w:cs="Arial"/>
          <w:sz w:val="22"/>
          <w:szCs w:val="22"/>
        </w:rPr>
      </w:pPr>
      <w:r w:rsidRPr="00107A29">
        <w:rPr>
          <w:rFonts w:ascii="Arial" w:hAnsi="Arial" w:cs="Arial"/>
          <w:sz w:val="22"/>
          <w:szCs w:val="22"/>
        </w:rPr>
        <w:t>„Wie viele doppelt so schwere Würfel müssten jeweils aufgelegt werden?“ Diese Frage führt zur Erkenntnis, dass nur gerade Anzahlen von Tassen aufgewogen werden können, da keine Bruchteile von Würfeln zugelassen sind. Anhand der Übersichtstabelle können die Schülerinnen und Schüler selbst eine einleuchtende Erklärung hierfür finden:</w:t>
      </w:r>
    </w:p>
    <w:p w:rsidR="00AB09BA" w:rsidRPr="00AB09BA" w:rsidRDefault="00AB09BA" w:rsidP="00AB09BA">
      <w:pPr>
        <w:pStyle w:val="Listenabsatz"/>
        <w:spacing w:after="120"/>
        <w:rPr>
          <w:rFonts w:ascii="Arial" w:hAnsi="Arial" w:cs="Arial"/>
          <w:sz w:val="10"/>
          <w:szCs w:val="10"/>
        </w:rPr>
      </w:pPr>
    </w:p>
    <w:tbl>
      <w:tblPr>
        <w:tblW w:w="805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88"/>
        <w:gridCol w:w="570"/>
        <w:gridCol w:w="570"/>
        <w:gridCol w:w="570"/>
        <w:gridCol w:w="570"/>
        <w:gridCol w:w="570"/>
        <w:gridCol w:w="570"/>
        <w:gridCol w:w="570"/>
        <w:gridCol w:w="570"/>
        <w:gridCol w:w="570"/>
        <w:gridCol w:w="570"/>
        <w:gridCol w:w="570"/>
      </w:tblGrid>
      <w:tr w:rsidR="00AB09BA" w:rsidRPr="00AB09BA" w:rsidTr="000B15F4">
        <w:tc>
          <w:tcPr>
            <w:tcW w:w="1788"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Tassen</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1</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2</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3</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4</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5</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6</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7</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8</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9</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10</w:t>
            </w:r>
          </w:p>
        </w:tc>
        <w:tc>
          <w:tcPr>
            <w:tcW w:w="570" w:type="dxa"/>
            <w:shd w:val="clear" w:color="auto" w:fill="auto"/>
            <w:vAlign w:val="center"/>
          </w:tcPr>
          <w:p w:rsidR="00AB09BA" w:rsidRPr="00AB09BA" w:rsidRDefault="00AB09BA" w:rsidP="000B15F4">
            <w:pPr>
              <w:jc w:val="center"/>
              <w:rPr>
                <w:rFonts w:ascii="Arial" w:hAnsi="Arial" w:cs="Arial"/>
                <w:b/>
                <w:bCs/>
                <w:sz w:val="22"/>
                <w:szCs w:val="22"/>
              </w:rPr>
            </w:pPr>
            <w:r w:rsidRPr="00AB09BA">
              <w:rPr>
                <w:rFonts w:ascii="Arial" w:hAnsi="Arial" w:cs="Arial"/>
                <w:b/>
                <w:bCs/>
                <w:sz w:val="22"/>
                <w:szCs w:val="22"/>
              </w:rPr>
              <w:t>…</w:t>
            </w:r>
          </w:p>
        </w:tc>
      </w:tr>
      <w:tr w:rsidR="00AB09BA" w:rsidRPr="00AB09BA" w:rsidTr="000B15F4">
        <w:tc>
          <w:tcPr>
            <w:tcW w:w="1788"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ursprüngliche</w:t>
            </w:r>
          </w:p>
          <w:p w:rsidR="00AB09BA" w:rsidRPr="00AB09BA" w:rsidRDefault="00AB09BA" w:rsidP="000B15F4">
            <w:pPr>
              <w:jc w:val="center"/>
              <w:rPr>
                <w:rFonts w:ascii="Arial" w:hAnsi="Arial" w:cs="Arial"/>
                <w:sz w:val="22"/>
                <w:szCs w:val="22"/>
              </w:rPr>
            </w:pPr>
            <w:r w:rsidRPr="00AB09BA">
              <w:rPr>
                <w:rFonts w:ascii="Arial" w:hAnsi="Arial" w:cs="Arial"/>
                <w:sz w:val="22"/>
                <w:szCs w:val="22"/>
              </w:rPr>
              <w:t xml:space="preserve"> Würfel</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3</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6</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9</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12</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15</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18</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21</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24</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27</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30</w:t>
            </w: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w:t>
            </w:r>
          </w:p>
        </w:tc>
      </w:tr>
      <w:tr w:rsidR="00AB09BA" w:rsidRPr="00AB09BA" w:rsidTr="000B15F4">
        <w:tc>
          <w:tcPr>
            <w:tcW w:w="1788"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 xml:space="preserve">doppelt so </w:t>
            </w:r>
          </w:p>
          <w:p w:rsidR="00AB09BA" w:rsidRPr="00AB09BA" w:rsidRDefault="00AB09BA" w:rsidP="000B15F4">
            <w:pPr>
              <w:jc w:val="center"/>
              <w:rPr>
                <w:rFonts w:ascii="Arial" w:hAnsi="Arial" w:cs="Arial"/>
                <w:sz w:val="22"/>
                <w:szCs w:val="22"/>
              </w:rPr>
            </w:pPr>
            <w:r w:rsidRPr="00AB09BA">
              <w:rPr>
                <w:rFonts w:ascii="Arial" w:hAnsi="Arial" w:cs="Arial"/>
                <w:sz w:val="22"/>
                <w:szCs w:val="22"/>
              </w:rPr>
              <w:t>schwere Würfel</w:t>
            </w:r>
          </w:p>
        </w:tc>
        <w:tc>
          <w:tcPr>
            <w:tcW w:w="570" w:type="dxa"/>
            <w:shd w:val="clear" w:color="auto" w:fill="auto"/>
            <w:vAlign w:val="center"/>
          </w:tcPr>
          <w:p w:rsidR="00AB09BA" w:rsidRPr="00AB09BA" w:rsidRDefault="00AB09BA" w:rsidP="000B15F4">
            <w:pPr>
              <w:jc w:val="center"/>
              <w:rPr>
                <w:rFonts w:ascii="Arial" w:hAnsi="Arial" w:cs="Arial"/>
                <w:sz w:val="22"/>
                <w:szCs w:val="22"/>
              </w:rPr>
            </w:pP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3</w:t>
            </w:r>
          </w:p>
        </w:tc>
        <w:tc>
          <w:tcPr>
            <w:tcW w:w="570" w:type="dxa"/>
            <w:shd w:val="clear" w:color="auto" w:fill="auto"/>
            <w:vAlign w:val="center"/>
          </w:tcPr>
          <w:p w:rsidR="00AB09BA" w:rsidRPr="00AB09BA" w:rsidRDefault="00AB09BA" w:rsidP="000B15F4">
            <w:pPr>
              <w:jc w:val="center"/>
              <w:rPr>
                <w:rFonts w:ascii="Arial" w:hAnsi="Arial" w:cs="Arial"/>
                <w:sz w:val="22"/>
                <w:szCs w:val="22"/>
              </w:rPr>
            </w:pP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6</w:t>
            </w:r>
          </w:p>
        </w:tc>
        <w:tc>
          <w:tcPr>
            <w:tcW w:w="570" w:type="dxa"/>
            <w:shd w:val="clear" w:color="auto" w:fill="auto"/>
            <w:vAlign w:val="center"/>
          </w:tcPr>
          <w:p w:rsidR="00AB09BA" w:rsidRPr="00AB09BA" w:rsidRDefault="00AB09BA" w:rsidP="000B15F4">
            <w:pPr>
              <w:jc w:val="center"/>
              <w:rPr>
                <w:rFonts w:ascii="Arial" w:hAnsi="Arial" w:cs="Arial"/>
                <w:sz w:val="22"/>
                <w:szCs w:val="22"/>
              </w:rPr>
            </w:pP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9</w:t>
            </w:r>
          </w:p>
        </w:tc>
        <w:tc>
          <w:tcPr>
            <w:tcW w:w="570" w:type="dxa"/>
            <w:shd w:val="clear" w:color="auto" w:fill="auto"/>
            <w:vAlign w:val="center"/>
          </w:tcPr>
          <w:p w:rsidR="00AB09BA" w:rsidRPr="00AB09BA" w:rsidRDefault="00AB09BA" w:rsidP="000B15F4">
            <w:pPr>
              <w:jc w:val="center"/>
              <w:rPr>
                <w:rFonts w:ascii="Arial" w:hAnsi="Arial" w:cs="Arial"/>
                <w:sz w:val="22"/>
                <w:szCs w:val="22"/>
              </w:rPr>
            </w:pP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12</w:t>
            </w:r>
          </w:p>
        </w:tc>
        <w:tc>
          <w:tcPr>
            <w:tcW w:w="570" w:type="dxa"/>
            <w:shd w:val="clear" w:color="auto" w:fill="auto"/>
            <w:vAlign w:val="center"/>
          </w:tcPr>
          <w:p w:rsidR="00AB09BA" w:rsidRPr="00AB09BA" w:rsidRDefault="00AB09BA" w:rsidP="000B15F4">
            <w:pPr>
              <w:jc w:val="center"/>
              <w:rPr>
                <w:rFonts w:ascii="Arial" w:hAnsi="Arial" w:cs="Arial"/>
                <w:sz w:val="22"/>
                <w:szCs w:val="22"/>
              </w:rPr>
            </w:pPr>
          </w:p>
        </w:tc>
        <w:tc>
          <w:tcPr>
            <w:tcW w:w="570" w:type="dxa"/>
            <w:shd w:val="clear" w:color="auto" w:fill="auto"/>
            <w:vAlign w:val="center"/>
          </w:tcPr>
          <w:p w:rsidR="00AB09BA" w:rsidRPr="00AB09BA" w:rsidRDefault="00AB09BA" w:rsidP="000B15F4">
            <w:pPr>
              <w:jc w:val="center"/>
              <w:rPr>
                <w:rFonts w:ascii="Arial" w:hAnsi="Arial" w:cs="Arial"/>
                <w:sz w:val="22"/>
                <w:szCs w:val="22"/>
              </w:rPr>
            </w:pPr>
            <w:r w:rsidRPr="00AB09BA">
              <w:rPr>
                <w:rFonts w:ascii="Arial" w:hAnsi="Arial" w:cs="Arial"/>
                <w:sz w:val="22"/>
                <w:szCs w:val="22"/>
              </w:rPr>
              <w:t>15</w:t>
            </w:r>
          </w:p>
        </w:tc>
        <w:tc>
          <w:tcPr>
            <w:tcW w:w="570" w:type="dxa"/>
            <w:shd w:val="clear" w:color="auto" w:fill="auto"/>
            <w:vAlign w:val="center"/>
          </w:tcPr>
          <w:p w:rsidR="00AB09BA" w:rsidRPr="00AB09BA" w:rsidRDefault="00AB09BA" w:rsidP="000B15F4">
            <w:pPr>
              <w:jc w:val="center"/>
              <w:rPr>
                <w:rFonts w:ascii="Arial" w:hAnsi="Arial" w:cs="Arial"/>
                <w:sz w:val="22"/>
                <w:szCs w:val="22"/>
              </w:rPr>
            </w:pPr>
          </w:p>
        </w:tc>
      </w:tr>
    </w:tbl>
    <w:p w:rsidR="00107A29" w:rsidRPr="00107A29" w:rsidRDefault="00107A29" w:rsidP="00107A29">
      <w:pPr>
        <w:spacing w:after="120"/>
        <w:rPr>
          <w:rFonts w:ascii="Arial" w:hAnsi="Arial" w:cs="Arial"/>
          <w:sz w:val="22"/>
          <w:szCs w:val="22"/>
        </w:rPr>
      </w:pPr>
      <w:r w:rsidRPr="00107A29">
        <w:rPr>
          <w:rFonts w:ascii="Arial" w:hAnsi="Arial" w:cs="Arial"/>
          <w:sz w:val="22"/>
          <w:szCs w:val="22"/>
        </w:rPr>
        <w:tab/>
      </w:r>
    </w:p>
    <w:p w:rsidR="00107A29" w:rsidRPr="00107A29" w:rsidRDefault="00107A29" w:rsidP="00107A29">
      <w:pPr>
        <w:spacing w:after="120"/>
        <w:rPr>
          <w:rFonts w:ascii="Arial" w:hAnsi="Arial" w:cs="Arial"/>
          <w:sz w:val="22"/>
          <w:szCs w:val="22"/>
        </w:rPr>
      </w:pPr>
      <w:r w:rsidRPr="00107A29">
        <w:rPr>
          <w:rFonts w:ascii="Arial" w:hAnsi="Arial" w:cs="Arial"/>
          <w:sz w:val="22"/>
          <w:szCs w:val="22"/>
        </w:rPr>
        <w:t xml:space="preserve">Das Hinzufügen von Zeilen für „dreimal so schwere Würfel“, „viermal so schwere Würfel“ usw. birgt weitere Möglichkeiten für Entdeckungen zu </w:t>
      </w:r>
      <w:proofErr w:type="spellStart"/>
      <w:r w:rsidRPr="00107A29">
        <w:rPr>
          <w:rFonts w:ascii="Arial" w:hAnsi="Arial" w:cs="Arial"/>
          <w:sz w:val="22"/>
          <w:szCs w:val="22"/>
        </w:rPr>
        <w:t>Proportionalitäten</w:t>
      </w:r>
      <w:proofErr w:type="spellEnd"/>
      <w:r w:rsidRPr="00107A29">
        <w:rPr>
          <w:rFonts w:ascii="Arial" w:hAnsi="Arial" w:cs="Arial"/>
          <w:sz w:val="22"/>
          <w:szCs w:val="22"/>
        </w:rPr>
        <w:t xml:space="preserve"> und Teilbarkeiten. </w:t>
      </w:r>
    </w:p>
    <w:p w:rsidR="00610F0B" w:rsidRPr="00107A29" w:rsidRDefault="00107A29" w:rsidP="00107A29">
      <w:pPr>
        <w:spacing w:after="120"/>
        <w:rPr>
          <w:rFonts w:ascii="Arial" w:hAnsi="Arial" w:cs="Arial"/>
          <w:sz w:val="22"/>
          <w:szCs w:val="22"/>
        </w:rPr>
      </w:pPr>
      <w:r w:rsidRPr="00107A29">
        <w:rPr>
          <w:rFonts w:ascii="Arial" w:hAnsi="Arial" w:cs="Arial"/>
          <w:sz w:val="22"/>
          <w:szCs w:val="22"/>
        </w:rPr>
        <w:t>Eine andere interessante, mögliche Fortführung stellt auch die Betrachtung des Falles dar, dass nicht rechts eine Tasse, sondern links ein Würfel entfernt wird. Wie kann die Waage durch Veränderung der rechten Seite ins Gleichgewicht gebracht werden (ohne eine Tasse zu zerschlagen)? Auch hier bietet sich differenzierend der Einsatz einer realen Balkenwaage für diejenigen Schülerinnen und Schüler an, die damit Schwierigkeiten haben.</w:t>
      </w:r>
    </w:p>
    <w:sectPr w:rsidR="00610F0B" w:rsidRPr="00107A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59A" w:rsidRDefault="00FA559A" w:rsidP="00FA559A">
      <w:r>
        <w:separator/>
      </w:r>
    </w:p>
  </w:endnote>
  <w:endnote w:type="continuationSeparator" w:id="0">
    <w:p w:rsidR="00FA559A" w:rsidRDefault="00FA559A" w:rsidP="00FA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59A" w:rsidRDefault="00FA55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59A" w:rsidRDefault="00FA559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59A" w:rsidRDefault="00FA55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59A" w:rsidRDefault="00FA559A" w:rsidP="00FA559A">
      <w:r>
        <w:separator/>
      </w:r>
    </w:p>
  </w:footnote>
  <w:footnote w:type="continuationSeparator" w:id="0">
    <w:p w:rsidR="00FA559A" w:rsidRDefault="00FA559A" w:rsidP="00FA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59A" w:rsidRDefault="00FA55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59A" w:rsidRDefault="00FA559A">
    <w:pPr>
      <w:pStyle w:val="Kopfzeile"/>
    </w:pPr>
    <w:r>
      <w:rPr>
        <w:noProof/>
      </w:rPr>
      <w:drawing>
        <wp:inline distT="0" distB="0" distL="0" distR="0" wp14:anchorId="7A3C9D13" wp14:editId="281E453F">
          <wp:extent cx="4105275" cy="269875"/>
          <wp:effectExtent l="0" t="0" r="9525" b="0"/>
          <wp:docPr id="4" name="Grafik 4" descr="Beschreibung: Kopf"/>
          <wp:cNvGraphicFramePr/>
          <a:graphic xmlns:a="http://schemas.openxmlformats.org/drawingml/2006/main">
            <a:graphicData uri="http://schemas.openxmlformats.org/drawingml/2006/picture">
              <pic:pic xmlns:pic="http://schemas.openxmlformats.org/drawingml/2006/picture">
                <pic:nvPicPr>
                  <pic:cNvPr id="4" name="Grafik 4" descr="Beschreibung: Kopf"/>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59A" w:rsidRDefault="00FA55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42C32"/>
    <w:multiLevelType w:val="hybridMultilevel"/>
    <w:tmpl w:val="6AD4A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0C555E"/>
    <w:multiLevelType w:val="hybridMultilevel"/>
    <w:tmpl w:val="89BC6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D5D22"/>
    <w:rsid w:val="000D6068"/>
    <w:rsid w:val="000F22A1"/>
    <w:rsid w:val="00104280"/>
    <w:rsid w:val="00107A29"/>
    <w:rsid w:val="00137646"/>
    <w:rsid w:val="00176D67"/>
    <w:rsid w:val="0018477B"/>
    <w:rsid w:val="001865A6"/>
    <w:rsid w:val="001C09A0"/>
    <w:rsid w:val="001C20E7"/>
    <w:rsid w:val="001C55D0"/>
    <w:rsid w:val="001E6C75"/>
    <w:rsid w:val="0021671D"/>
    <w:rsid w:val="002265B7"/>
    <w:rsid w:val="00226C04"/>
    <w:rsid w:val="0026784F"/>
    <w:rsid w:val="002712B8"/>
    <w:rsid w:val="002D1B6E"/>
    <w:rsid w:val="00304067"/>
    <w:rsid w:val="00304DCD"/>
    <w:rsid w:val="003411C4"/>
    <w:rsid w:val="003A1C8B"/>
    <w:rsid w:val="003A496B"/>
    <w:rsid w:val="003C7D61"/>
    <w:rsid w:val="003D7948"/>
    <w:rsid w:val="004D1DCE"/>
    <w:rsid w:val="004F70C4"/>
    <w:rsid w:val="00566351"/>
    <w:rsid w:val="00610F0B"/>
    <w:rsid w:val="0061709D"/>
    <w:rsid w:val="00666933"/>
    <w:rsid w:val="00692E69"/>
    <w:rsid w:val="006C29B7"/>
    <w:rsid w:val="00753D68"/>
    <w:rsid w:val="00756CB3"/>
    <w:rsid w:val="007C729F"/>
    <w:rsid w:val="007D4262"/>
    <w:rsid w:val="00806273"/>
    <w:rsid w:val="008336E4"/>
    <w:rsid w:val="00837274"/>
    <w:rsid w:val="00861043"/>
    <w:rsid w:val="00871097"/>
    <w:rsid w:val="0088770C"/>
    <w:rsid w:val="009C47FB"/>
    <w:rsid w:val="009D5014"/>
    <w:rsid w:val="009E4A36"/>
    <w:rsid w:val="00A13FB9"/>
    <w:rsid w:val="00A25A42"/>
    <w:rsid w:val="00A47EC4"/>
    <w:rsid w:val="00A95DDE"/>
    <w:rsid w:val="00AB09BA"/>
    <w:rsid w:val="00AB17D0"/>
    <w:rsid w:val="00B8136A"/>
    <w:rsid w:val="00C2385F"/>
    <w:rsid w:val="00C23F07"/>
    <w:rsid w:val="00C7686A"/>
    <w:rsid w:val="00C94C51"/>
    <w:rsid w:val="00CF32DF"/>
    <w:rsid w:val="00D44C7A"/>
    <w:rsid w:val="00D462AA"/>
    <w:rsid w:val="00F0154F"/>
    <w:rsid w:val="00FA559A"/>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F05C3"/>
  <w15:docId w15:val="{E2566E00-BD74-4DB5-8996-DEEFA116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nhideWhenUsed/>
    <w:rsid w:val="00FA559A"/>
    <w:pPr>
      <w:tabs>
        <w:tab w:val="center" w:pos="4536"/>
        <w:tab w:val="right" w:pos="9072"/>
      </w:tabs>
    </w:pPr>
  </w:style>
  <w:style w:type="character" w:customStyle="1" w:styleId="KopfzeileZchn">
    <w:name w:val="Kopfzeile Zchn"/>
    <w:basedOn w:val="Absatz-Standardschriftart"/>
    <w:link w:val="Kopfzeile"/>
    <w:rsid w:val="00FA559A"/>
    <w:rPr>
      <w:sz w:val="24"/>
      <w:szCs w:val="24"/>
    </w:rPr>
  </w:style>
  <w:style w:type="paragraph" w:styleId="Fuzeile">
    <w:name w:val="footer"/>
    <w:basedOn w:val="Standard"/>
    <w:link w:val="FuzeileZchn"/>
    <w:unhideWhenUsed/>
    <w:rsid w:val="00FA559A"/>
    <w:pPr>
      <w:tabs>
        <w:tab w:val="center" w:pos="4536"/>
        <w:tab w:val="right" w:pos="9072"/>
      </w:tabs>
    </w:pPr>
  </w:style>
  <w:style w:type="character" w:customStyle="1" w:styleId="FuzeileZchn">
    <w:name w:val="Fußzeile Zchn"/>
    <w:basedOn w:val="Absatz-Standardschriftart"/>
    <w:link w:val="Fuzeile"/>
    <w:rsid w:val="00FA559A"/>
    <w:rPr>
      <w:sz w:val="24"/>
      <w:szCs w:val="24"/>
    </w:rPr>
  </w:style>
  <w:style w:type="paragraph" w:styleId="Listenabsatz">
    <w:name w:val="List Paragraph"/>
    <w:basedOn w:val="Standard"/>
    <w:uiPriority w:val="34"/>
    <w:qFormat/>
    <w:rsid w:val="00107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12</cp:revision>
  <cp:lastPrinted>2007-01-11T14:25:00Z</cp:lastPrinted>
  <dcterms:created xsi:type="dcterms:W3CDTF">2020-12-23T09:34:00Z</dcterms:created>
  <dcterms:modified xsi:type="dcterms:W3CDTF">2022-02-02T14:42:00Z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