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88" w:rsidRPr="00A76188" w:rsidRDefault="00A76188" w:rsidP="00A76188">
      <w:pPr>
        <w:pStyle w:val="IQB-Aufgabentitel"/>
        <w:spacing w:after="120"/>
        <w:rPr>
          <w:rFonts w:cs="Arial"/>
          <w:szCs w:val="28"/>
        </w:rPr>
      </w:pPr>
      <w:r w:rsidRPr="00A76188">
        <w:rPr>
          <w:rFonts w:cs="Arial"/>
          <w:szCs w:val="28"/>
        </w:rPr>
        <w:t>Didaktische</w:t>
      </w:r>
      <w:r w:rsidR="009C57B3">
        <w:rPr>
          <w:rFonts w:cs="Arial"/>
          <w:szCs w:val="28"/>
        </w:rPr>
        <w:t xml:space="preserve"> Kommentierung</w:t>
      </w:r>
      <w:r w:rsidRPr="00A76188">
        <w:rPr>
          <w:rFonts w:cs="Arial"/>
          <w:szCs w:val="28"/>
        </w:rPr>
        <w:t>: Aufgabe Ausflug</w:t>
      </w:r>
    </w:p>
    <w:p w:rsidR="00A76188" w:rsidRPr="00A76188" w:rsidRDefault="00A76188" w:rsidP="00A76188">
      <w:pPr>
        <w:pStyle w:val="IQB-Aufgabentitel"/>
        <w:spacing w:after="120"/>
        <w:rPr>
          <w:rFonts w:cs="Arial"/>
          <w:sz w:val="22"/>
          <w:szCs w:val="22"/>
        </w:rPr>
      </w:pPr>
    </w:p>
    <w:p w:rsidR="00A76188" w:rsidRPr="00A76188" w:rsidRDefault="00A76188" w:rsidP="00A76188">
      <w:pPr>
        <w:pStyle w:val="IQB-Aufgabentitel"/>
        <w:spacing w:after="120"/>
        <w:rPr>
          <w:rFonts w:cs="Arial"/>
          <w:b/>
          <w:sz w:val="22"/>
          <w:szCs w:val="22"/>
        </w:rPr>
      </w:pPr>
      <w:r w:rsidRPr="00A76188">
        <w:rPr>
          <w:rFonts w:cs="Arial"/>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3543"/>
        <w:gridCol w:w="3543"/>
      </w:tblGrid>
      <w:tr w:rsidR="00250380" w:rsidRPr="00A76188">
        <w:tc>
          <w:tcPr>
            <w:tcW w:w="2040" w:type="dxa"/>
            <w:vAlign w:val="center"/>
          </w:tcPr>
          <w:p w:rsidR="00250380" w:rsidRPr="00A76188" w:rsidRDefault="00A76188" w:rsidP="00A76188">
            <w:pPr>
              <w:pStyle w:val="IQB-Merkmal"/>
              <w:spacing w:before="0" w:after="120"/>
              <w:rPr>
                <w:rFonts w:cs="Arial"/>
                <w:sz w:val="20"/>
                <w:szCs w:val="20"/>
              </w:rPr>
            </w:pPr>
            <w:r w:rsidRPr="00A76188">
              <w:rPr>
                <w:rFonts w:cs="Arial"/>
                <w:sz w:val="20"/>
                <w:szCs w:val="20"/>
              </w:rPr>
              <w:t>Leitidee</w:t>
            </w:r>
          </w:p>
        </w:tc>
        <w:tc>
          <w:tcPr>
            <w:tcW w:w="7086" w:type="dxa"/>
            <w:gridSpan w:val="2"/>
          </w:tcPr>
          <w:p w:rsidR="00250380" w:rsidRPr="00A76188" w:rsidRDefault="00A76188" w:rsidP="00A76188">
            <w:pPr>
              <w:pStyle w:val="IQB-Merkmalswert"/>
              <w:spacing w:before="0" w:after="120"/>
              <w:rPr>
                <w:rFonts w:cs="Arial"/>
                <w:sz w:val="20"/>
                <w:szCs w:val="20"/>
              </w:rPr>
            </w:pPr>
            <w:r w:rsidRPr="00A76188">
              <w:rPr>
                <w:rFonts w:cs="Arial"/>
                <w:sz w:val="20"/>
                <w:szCs w:val="20"/>
              </w:rPr>
              <w:t>Größen und Messen</w:t>
            </w:r>
          </w:p>
        </w:tc>
      </w:tr>
      <w:tr w:rsidR="00250380" w:rsidRPr="00A76188">
        <w:tc>
          <w:tcPr>
            <w:tcW w:w="2040" w:type="dxa"/>
          </w:tcPr>
          <w:p w:rsidR="00250380" w:rsidRPr="00A76188" w:rsidRDefault="00A76188" w:rsidP="00A76188">
            <w:pPr>
              <w:pStyle w:val="IQB-Merkmal"/>
              <w:spacing w:before="0" w:after="120"/>
              <w:rPr>
                <w:rFonts w:cs="Arial"/>
                <w:sz w:val="20"/>
                <w:szCs w:val="20"/>
              </w:rPr>
            </w:pPr>
            <w:r w:rsidRPr="00A76188">
              <w:rPr>
                <w:rFonts w:cs="Arial"/>
                <w:sz w:val="20"/>
                <w:szCs w:val="20"/>
              </w:rPr>
              <w:t>Aufgabenmerkmale</w:t>
            </w:r>
          </w:p>
        </w:tc>
        <w:tc>
          <w:tcPr>
            <w:tcW w:w="3543" w:type="dxa"/>
          </w:tcPr>
          <w:p w:rsidR="00250380" w:rsidRPr="00A76188" w:rsidRDefault="00A76188" w:rsidP="00A76188">
            <w:pPr>
              <w:pStyle w:val="IQB-Merkmalswert"/>
              <w:spacing w:before="0" w:after="120"/>
              <w:rPr>
                <w:rFonts w:cs="Arial"/>
                <w:sz w:val="20"/>
                <w:szCs w:val="20"/>
              </w:rPr>
            </w:pPr>
            <w:r w:rsidRPr="00A76188">
              <w:rPr>
                <w:rFonts w:cs="Arial"/>
                <w:sz w:val="20"/>
                <w:szCs w:val="20"/>
              </w:rPr>
              <w:t>1</w:t>
            </w:r>
          </w:p>
        </w:tc>
        <w:tc>
          <w:tcPr>
            <w:tcW w:w="3543" w:type="dxa"/>
          </w:tcPr>
          <w:p w:rsidR="00250380" w:rsidRPr="00A76188" w:rsidRDefault="00A76188" w:rsidP="00A76188">
            <w:pPr>
              <w:pStyle w:val="IQB-Merkmalswert"/>
              <w:spacing w:before="0" w:after="120"/>
              <w:rPr>
                <w:rFonts w:cs="Arial"/>
                <w:sz w:val="20"/>
                <w:szCs w:val="20"/>
              </w:rPr>
            </w:pPr>
            <w:r w:rsidRPr="00A76188">
              <w:rPr>
                <w:rFonts w:cs="Arial"/>
                <w:sz w:val="20"/>
                <w:szCs w:val="20"/>
              </w:rPr>
              <w:t>2</w:t>
            </w:r>
          </w:p>
        </w:tc>
      </w:tr>
      <w:tr w:rsidR="00250380" w:rsidRPr="00A76188">
        <w:tc>
          <w:tcPr>
            <w:tcW w:w="2040" w:type="dxa"/>
            <w:vAlign w:val="center"/>
          </w:tcPr>
          <w:p w:rsidR="00250380" w:rsidRPr="00A76188" w:rsidRDefault="00A76188" w:rsidP="00A76188">
            <w:pPr>
              <w:pStyle w:val="IQB-Merkmal"/>
              <w:spacing w:before="0" w:after="120"/>
              <w:rPr>
                <w:rFonts w:cs="Arial"/>
                <w:sz w:val="20"/>
                <w:szCs w:val="20"/>
              </w:rPr>
            </w:pPr>
            <w:r w:rsidRPr="00A76188">
              <w:rPr>
                <w:rFonts w:cs="Arial"/>
                <w:sz w:val="20"/>
                <w:szCs w:val="20"/>
              </w:rPr>
              <w:t>Bildungsstandard/s - Allgemeine Kompetenzen</w:t>
            </w:r>
          </w:p>
        </w:tc>
        <w:tc>
          <w:tcPr>
            <w:tcW w:w="3543" w:type="dxa"/>
          </w:tcPr>
          <w:p w:rsidR="00250380" w:rsidRPr="00A76188" w:rsidRDefault="00A76188" w:rsidP="00A76188">
            <w:pPr>
              <w:pStyle w:val="IQB-Merkmalswert"/>
              <w:spacing w:before="0" w:after="120"/>
              <w:rPr>
                <w:rFonts w:cs="Arial"/>
                <w:sz w:val="20"/>
                <w:szCs w:val="20"/>
              </w:rPr>
            </w:pPr>
            <w:r w:rsidRPr="00A76188">
              <w:rPr>
                <w:rFonts w:cs="Arial"/>
                <w:sz w:val="20"/>
                <w:szCs w:val="20"/>
              </w:rPr>
              <w:t>Sachprobleme in die Sprache der Mathematik übersetzen, innermathematisch lösen und diese Lösungen auf die Ausgangssituation beziehen</w:t>
            </w:r>
          </w:p>
        </w:tc>
        <w:tc>
          <w:tcPr>
            <w:tcW w:w="3543" w:type="dxa"/>
          </w:tcPr>
          <w:p w:rsidR="00250380" w:rsidRPr="00A76188" w:rsidRDefault="00A76188" w:rsidP="00A76188">
            <w:pPr>
              <w:pStyle w:val="IQB-Merkmalswert"/>
              <w:spacing w:before="0" w:after="120"/>
              <w:rPr>
                <w:rFonts w:cs="Arial"/>
                <w:sz w:val="20"/>
                <w:szCs w:val="20"/>
              </w:rPr>
            </w:pPr>
            <w:r w:rsidRPr="00A76188">
              <w:rPr>
                <w:rFonts w:cs="Arial"/>
                <w:sz w:val="20"/>
                <w:szCs w:val="20"/>
              </w:rPr>
              <w:t>Begründungen suchen und nachvollziehen</w:t>
            </w:r>
          </w:p>
        </w:tc>
      </w:tr>
      <w:tr w:rsidR="00250380" w:rsidRPr="00A76188">
        <w:tc>
          <w:tcPr>
            <w:tcW w:w="2040" w:type="dxa"/>
            <w:vAlign w:val="center"/>
          </w:tcPr>
          <w:p w:rsidR="00250380" w:rsidRPr="00A76188" w:rsidRDefault="00A76188" w:rsidP="00A76188">
            <w:pPr>
              <w:pStyle w:val="IQB-Merkmal"/>
              <w:spacing w:before="0" w:after="120"/>
              <w:rPr>
                <w:rFonts w:cs="Arial"/>
                <w:sz w:val="20"/>
                <w:szCs w:val="20"/>
              </w:rPr>
            </w:pPr>
            <w:r w:rsidRPr="00A76188">
              <w:rPr>
                <w:rFonts w:cs="Arial"/>
                <w:sz w:val="20"/>
                <w:szCs w:val="20"/>
              </w:rPr>
              <w:t>Bildungsstandard/s - Inhaltsbezogene Kompetenzen (Leitideen)</w:t>
            </w:r>
          </w:p>
        </w:tc>
        <w:tc>
          <w:tcPr>
            <w:tcW w:w="3543" w:type="dxa"/>
          </w:tcPr>
          <w:p w:rsidR="00250380" w:rsidRPr="00A76188" w:rsidRDefault="00A76188" w:rsidP="00A76188">
            <w:pPr>
              <w:pStyle w:val="IQB-Merkmalswert"/>
              <w:spacing w:before="0" w:after="120"/>
              <w:rPr>
                <w:rFonts w:cs="Arial"/>
                <w:sz w:val="20"/>
                <w:szCs w:val="20"/>
              </w:rPr>
            </w:pPr>
            <w:r w:rsidRPr="00A76188">
              <w:rPr>
                <w:rFonts w:cs="Arial"/>
                <w:sz w:val="20"/>
                <w:szCs w:val="20"/>
              </w:rPr>
              <w:t>Sachaufgaben mit Größen lösen</w:t>
            </w:r>
          </w:p>
        </w:tc>
        <w:tc>
          <w:tcPr>
            <w:tcW w:w="3543" w:type="dxa"/>
          </w:tcPr>
          <w:p w:rsidR="00250380" w:rsidRPr="00A76188" w:rsidRDefault="00A76188" w:rsidP="00A76188">
            <w:pPr>
              <w:pStyle w:val="IQB-Merkmalswert"/>
              <w:spacing w:before="0" w:after="120"/>
              <w:rPr>
                <w:rFonts w:cs="Arial"/>
                <w:sz w:val="20"/>
                <w:szCs w:val="20"/>
              </w:rPr>
            </w:pPr>
            <w:r w:rsidRPr="00A76188">
              <w:rPr>
                <w:rFonts w:cs="Arial"/>
                <w:sz w:val="20"/>
                <w:szCs w:val="20"/>
              </w:rPr>
              <w:t>Sachaufgaben lösen und dabei die Beziehungen zwischen der Sache und den einzelnen Lösungsschritten beschreiben</w:t>
            </w:r>
          </w:p>
        </w:tc>
      </w:tr>
      <w:tr w:rsidR="00A76188" w:rsidRPr="00A76188">
        <w:tc>
          <w:tcPr>
            <w:tcW w:w="2040" w:type="dxa"/>
            <w:vAlign w:val="center"/>
          </w:tcPr>
          <w:p w:rsidR="00A76188" w:rsidRPr="00A76188" w:rsidRDefault="00A76188" w:rsidP="00A76188">
            <w:pPr>
              <w:pStyle w:val="IQB-Merkmal"/>
              <w:spacing w:before="0" w:after="120"/>
              <w:rPr>
                <w:rFonts w:cs="Arial"/>
                <w:sz w:val="20"/>
                <w:szCs w:val="20"/>
              </w:rPr>
            </w:pPr>
            <w:r w:rsidRPr="00A76188">
              <w:rPr>
                <w:rFonts w:cs="Arial"/>
                <w:sz w:val="20"/>
                <w:szCs w:val="20"/>
              </w:rPr>
              <w:t>Kompetenzstufe</w:t>
            </w:r>
          </w:p>
        </w:tc>
        <w:tc>
          <w:tcPr>
            <w:tcW w:w="3543" w:type="dxa"/>
          </w:tcPr>
          <w:p w:rsidR="00A76188" w:rsidRPr="00A76188" w:rsidRDefault="00A76188" w:rsidP="00A76188">
            <w:pPr>
              <w:pStyle w:val="IQB-Merkmalswert"/>
              <w:spacing w:before="0" w:after="120"/>
              <w:rPr>
                <w:rFonts w:cs="Arial"/>
                <w:sz w:val="20"/>
                <w:szCs w:val="20"/>
              </w:rPr>
            </w:pPr>
            <w:r w:rsidRPr="00A76188">
              <w:rPr>
                <w:rFonts w:cs="Arial"/>
                <w:sz w:val="20"/>
                <w:szCs w:val="20"/>
              </w:rPr>
              <w:t>IV</w:t>
            </w:r>
          </w:p>
        </w:tc>
        <w:tc>
          <w:tcPr>
            <w:tcW w:w="3543" w:type="dxa"/>
          </w:tcPr>
          <w:p w:rsidR="00A76188" w:rsidRPr="00A76188" w:rsidRDefault="00A76188" w:rsidP="00A76188">
            <w:pPr>
              <w:pStyle w:val="IQB-Merkmalswert"/>
              <w:spacing w:before="0" w:after="120"/>
              <w:rPr>
                <w:rFonts w:cs="Arial"/>
                <w:sz w:val="20"/>
                <w:szCs w:val="20"/>
              </w:rPr>
            </w:pPr>
            <w:r w:rsidRPr="00A76188">
              <w:rPr>
                <w:rFonts w:cs="Arial"/>
                <w:sz w:val="20"/>
                <w:szCs w:val="20"/>
              </w:rPr>
              <w:t>V</w:t>
            </w:r>
          </w:p>
        </w:tc>
      </w:tr>
      <w:tr w:rsidR="00250380" w:rsidRPr="00A76188">
        <w:tc>
          <w:tcPr>
            <w:tcW w:w="2040" w:type="dxa"/>
            <w:vAlign w:val="center"/>
          </w:tcPr>
          <w:p w:rsidR="00250380" w:rsidRPr="00A76188" w:rsidRDefault="00A76188" w:rsidP="00A76188">
            <w:pPr>
              <w:pStyle w:val="IQB-Merkmal"/>
              <w:spacing w:before="0" w:after="120"/>
              <w:rPr>
                <w:rFonts w:cs="Arial"/>
                <w:sz w:val="20"/>
                <w:szCs w:val="20"/>
              </w:rPr>
            </w:pPr>
            <w:r w:rsidRPr="00A76188">
              <w:rPr>
                <w:rFonts w:cs="Arial"/>
                <w:sz w:val="20"/>
                <w:szCs w:val="20"/>
              </w:rPr>
              <w:t>Anforderungsbereich</w:t>
            </w:r>
          </w:p>
        </w:tc>
        <w:tc>
          <w:tcPr>
            <w:tcW w:w="3543" w:type="dxa"/>
          </w:tcPr>
          <w:p w:rsidR="00250380" w:rsidRPr="00A76188" w:rsidRDefault="00A76188" w:rsidP="00A76188">
            <w:pPr>
              <w:pStyle w:val="IQB-Merkmalswert"/>
              <w:spacing w:before="0" w:after="120"/>
              <w:rPr>
                <w:rFonts w:cs="Arial"/>
                <w:sz w:val="20"/>
                <w:szCs w:val="20"/>
              </w:rPr>
            </w:pPr>
            <w:r w:rsidRPr="00A76188">
              <w:rPr>
                <w:rFonts w:cs="Arial"/>
                <w:sz w:val="20"/>
                <w:szCs w:val="20"/>
              </w:rPr>
              <w:t>Zusammenhänge herstellen (II)</w:t>
            </w:r>
          </w:p>
        </w:tc>
        <w:tc>
          <w:tcPr>
            <w:tcW w:w="3543" w:type="dxa"/>
          </w:tcPr>
          <w:p w:rsidR="00250380" w:rsidRPr="00A76188" w:rsidRDefault="00A76188" w:rsidP="00A76188">
            <w:pPr>
              <w:pStyle w:val="IQB-Merkmalswert"/>
              <w:spacing w:before="0" w:after="120"/>
              <w:rPr>
                <w:rFonts w:cs="Arial"/>
                <w:sz w:val="20"/>
                <w:szCs w:val="20"/>
              </w:rPr>
            </w:pPr>
            <w:r w:rsidRPr="00A76188">
              <w:rPr>
                <w:rFonts w:cs="Arial"/>
                <w:sz w:val="20"/>
                <w:szCs w:val="20"/>
              </w:rPr>
              <w:t>Verallgemeinern und Reflektieren (III)</w:t>
            </w:r>
          </w:p>
        </w:tc>
      </w:tr>
    </w:tbl>
    <w:p w:rsidR="00A76188" w:rsidRDefault="00A76188" w:rsidP="00A76188">
      <w:pPr>
        <w:pStyle w:val="IQB-Teilaufgabensubtitel"/>
        <w:spacing w:before="0" w:after="120"/>
        <w:rPr>
          <w:rFonts w:cs="Arial"/>
          <w:szCs w:val="22"/>
        </w:rPr>
      </w:pPr>
    </w:p>
    <w:p w:rsidR="00A76188" w:rsidRPr="00A76188" w:rsidRDefault="00CE20CE" w:rsidP="00A76188">
      <w:pPr>
        <w:pStyle w:val="IQB-Teilaufgabensubtitel"/>
        <w:spacing w:before="0" w:after="120"/>
        <w:rPr>
          <w:rFonts w:cs="Arial"/>
          <w:b/>
          <w:szCs w:val="22"/>
        </w:rPr>
      </w:pPr>
      <w:r>
        <w:rPr>
          <w:rFonts w:cs="Arial"/>
          <w:b/>
          <w:szCs w:val="22"/>
        </w:rPr>
        <w:t>Aufgabenbezogener Kommentar</w:t>
      </w:r>
    </w:p>
    <w:p w:rsidR="00A76188" w:rsidRDefault="00A76188" w:rsidP="00A76188">
      <w:pPr>
        <w:spacing w:after="120"/>
        <w:rPr>
          <w:rFonts w:ascii="Arial" w:hAnsi="Arial" w:cs="Arial"/>
          <w:sz w:val="22"/>
          <w:szCs w:val="22"/>
        </w:rPr>
      </w:pPr>
      <w:r w:rsidRPr="00A76188">
        <w:rPr>
          <w:rFonts w:ascii="Arial" w:hAnsi="Arial" w:cs="Arial"/>
          <w:sz w:val="22"/>
          <w:szCs w:val="22"/>
        </w:rPr>
        <w:t>Die Aufgabe enthält ein Sachproblem, das zunächst erfasst und dann mit mathematischen Methoden gelöst werden muss. Dadurch, dass die Lösung wieder auf die Ausgangssituation bezogen wird, erfolgt eine Plausibilitätskontrolle und notfalls eine Korrektur.</w:t>
      </w:r>
    </w:p>
    <w:p w:rsidR="00DE2078" w:rsidRDefault="00DE2078" w:rsidP="00A76188">
      <w:pPr>
        <w:spacing w:after="120"/>
        <w:rPr>
          <w:rFonts w:ascii="Arial" w:hAnsi="Arial" w:cs="Arial"/>
          <w:sz w:val="22"/>
          <w:szCs w:val="22"/>
        </w:rPr>
      </w:pPr>
      <w:bookmarkStart w:id="0" w:name="_GoBack"/>
      <w:bookmarkEnd w:id="0"/>
    </w:p>
    <w:p w:rsidR="00DE2078" w:rsidRPr="00DE2078" w:rsidRDefault="00DE2078" w:rsidP="00A76188">
      <w:pPr>
        <w:spacing w:after="120"/>
        <w:rPr>
          <w:rFonts w:ascii="Arial" w:hAnsi="Arial" w:cs="Arial"/>
          <w:b/>
          <w:sz w:val="22"/>
          <w:szCs w:val="22"/>
        </w:rPr>
      </w:pPr>
      <w:r w:rsidRPr="00DE2078">
        <w:rPr>
          <w:rFonts w:ascii="Arial" w:hAnsi="Arial" w:cs="Arial"/>
          <w:b/>
          <w:sz w:val="22"/>
          <w:szCs w:val="22"/>
        </w:rPr>
        <w:t>Mögliche Schwierigkeit</w:t>
      </w:r>
    </w:p>
    <w:p w:rsidR="00A76188" w:rsidRPr="00A76188" w:rsidRDefault="00A76188" w:rsidP="00A76188">
      <w:pPr>
        <w:spacing w:after="120"/>
        <w:rPr>
          <w:rFonts w:ascii="Arial" w:hAnsi="Arial" w:cs="Arial"/>
          <w:sz w:val="22"/>
          <w:szCs w:val="22"/>
        </w:rPr>
      </w:pPr>
      <w:r w:rsidRPr="00A76188">
        <w:rPr>
          <w:rFonts w:ascii="Arial" w:hAnsi="Arial" w:cs="Arial"/>
          <w:sz w:val="22"/>
          <w:szCs w:val="22"/>
        </w:rPr>
        <w:t>Die Aufgabe weist eine erhöhte Schwierigkeit auf, wobei mehrere Fehlerquellen auszumachen sind: Entnehmen der Informationen, Erfassen des Sachproblems, Erkennen des Lösungsweges, richtiges Rechnen und Kontrollieren der Lösung.</w:t>
      </w:r>
    </w:p>
    <w:p w:rsidR="00A76188" w:rsidRPr="00A76188" w:rsidRDefault="00A76188" w:rsidP="00A76188">
      <w:pPr>
        <w:spacing w:after="120"/>
        <w:rPr>
          <w:rFonts w:ascii="Arial" w:hAnsi="Arial" w:cs="Arial"/>
          <w:sz w:val="22"/>
          <w:szCs w:val="22"/>
        </w:rPr>
      </w:pPr>
      <w:r w:rsidRPr="00A76188">
        <w:rPr>
          <w:rFonts w:ascii="Arial" w:hAnsi="Arial" w:cs="Arial"/>
          <w:sz w:val="22"/>
          <w:szCs w:val="22"/>
        </w:rPr>
        <w:t xml:space="preserve">Der Lösungsweg selbst beinhaltet weitere Hürden. Die Kinder müssen erkennen, dass: </w:t>
      </w:r>
    </w:p>
    <w:p w:rsidR="00A76188" w:rsidRPr="00DB54C0" w:rsidRDefault="00A76188" w:rsidP="00DB54C0">
      <w:pPr>
        <w:pStyle w:val="Listenabsatz"/>
        <w:numPr>
          <w:ilvl w:val="0"/>
          <w:numId w:val="4"/>
        </w:numPr>
        <w:spacing w:after="120"/>
        <w:rPr>
          <w:rFonts w:ascii="Arial" w:hAnsi="Arial" w:cs="Arial"/>
          <w:sz w:val="22"/>
          <w:szCs w:val="22"/>
        </w:rPr>
      </w:pPr>
      <w:r w:rsidRPr="00DB54C0">
        <w:rPr>
          <w:rFonts w:ascii="Arial" w:hAnsi="Arial" w:cs="Arial"/>
          <w:sz w:val="22"/>
          <w:szCs w:val="22"/>
        </w:rPr>
        <w:t>zuerst der fällige Gesamtbetrag zu errechnen ist,</w:t>
      </w:r>
    </w:p>
    <w:p w:rsidR="00A76188" w:rsidRPr="00DB54C0" w:rsidRDefault="00A76188" w:rsidP="00DB54C0">
      <w:pPr>
        <w:pStyle w:val="Listenabsatz"/>
        <w:numPr>
          <w:ilvl w:val="0"/>
          <w:numId w:val="4"/>
        </w:numPr>
        <w:spacing w:after="120"/>
        <w:rPr>
          <w:rFonts w:ascii="Arial" w:hAnsi="Arial" w:cs="Arial"/>
          <w:sz w:val="22"/>
          <w:szCs w:val="22"/>
        </w:rPr>
      </w:pPr>
      <w:r w:rsidRPr="00DB54C0">
        <w:rPr>
          <w:rFonts w:ascii="Arial" w:hAnsi="Arial" w:cs="Arial"/>
          <w:sz w:val="22"/>
          <w:szCs w:val="22"/>
        </w:rPr>
        <w:t>danach die Differenz zum bereits eingesammelten Betrag berechnet werden muss,</w:t>
      </w:r>
    </w:p>
    <w:p w:rsidR="00A76188" w:rsidRPr="00DB54C0" w:rsidRDefault="00A76188" w:rsidP="00DB54C0">
      <w:pPr>
        <w:pStyle w:val="Listenabsatz"/>
        <w:numPr>
          <w:ilvl w:val="0"/>
          <w:numId w:val="4"/>
        </w:numPr>
        <w:spacing w:after="120"/>
        <w:rPr>
          <w:rFonts w:ascii="Arial" w:hAnsi="Arial" w:cs="Arial"/>
          <w:sz w:val="22"/>
          <w:szCs w:val="22"/>
        </w:rPr>
      </w:pPr>
      <w:r w:rsidRPr="00DB54C0">
        <w:rPr>
          <w:rFonts w:ascii="Arial" w:hAnsi="Arial" w:cs="Arial"/>
          <w:sz w:val="22"/>
          <w:szCs w:val="22"/>
        </w:rPr>
        <w:t>diese Differenz wiederum durch den Betrag pro Kind zu dividieren ist, um die Anzahl der Kinder zu erhalten, die noch nicht bezahlt haben.</w:t>
      </w:r>
    </w:p>
    <w:p w:rsidR="00A76188" w:rsidRPr="00A76188" w:rsidRDefault="00A76188" w:rsidP="00A76188">
      <w:pPr>
        <w:spacing w:after="120"/>
        <w:rPr>
          <w:rFonts w:ascii="Arial" w:hAnsi="Arial" w:cs="Arial"/>
          <w:sz w:val="22"/>
          <w:szCs w:val="22"/>
        </w:rPr>
      </w:pPr>
      <w:r w:rsidRPr="00A76188">
        <w:rPr>
          <w:rFonts w:ascii="Arial" w:hAnsi="Arial" w:cs="Arial"/>
          <w:sz w:val="22"/>
          <w:szCs w:val="22"/>
        </w:rPr>
        <w:t xml:space="preserve">Alle Rechnungen bergen wiederum Möglichkeiten für etliche Rechenfehler in sich. </w:t>
      </w:r>
    </w:p>
    <w:p w:rsidR="00A76188" w:rsidRDefault="00A76188" w:rsidP="00A76188">
      <w:pPr>
        <w:spacing w:after="120"/>
        <w:rPr>
          <w:rFonts w:ascii="Arial" w:hAnsi="Arial" w:cs="Arial"/>
          <w:sz w:val="22"/>
          <w:szCs w:val="22"/>
        </w:rPr>
      </w:pPr>
      <w:r w:rsidRPr="00A76188">
        <w:rPr>
          <w:rFonts w:ascii="Arial" w:hAnsi="Arial" w:cs="Arial"/>
          <w:sz w:val="22"/>
          <w:szCs w:val="22"/>
        </w:rPr>
        <w:t>Meistern die Lernenden alle Hürden, müssen sie sich in Teilaufgabe 6.b) um einen nachvollziehbaren Rechenweg bemühen. Mit dieser Teilaufgabe haben die Lernenden aber auch die Chance, zu beweisen, dass sie trotz Rechenfehler den richtigen Lösungsweg gewählt haben.</w:t>
      </w:r>
    </w:p>
    <w:p w:rsidR="00A76188" w:rsidRPr="00A76188" w:rsidRDefault="00A76188" w:rsidP="00A76188">
      <w:pPr>
        <w:spacing w:after="120"/>
        <w:rPr>
          <w:rFonts w:ascii="Arial" w:hAnsi="Arial" w:cs="Arial"/>
          <w:sz w:val="22"/>
          <w:szCs w:val="22"/>
        </w:rPr>
      </w:pPr>
    </w:p>
    <w:p w:rsidR="00A76188" w:rsidRPr="00A76188" w:rsidRDefault="00CE20CE" w:rsidP="00A76188">
      <w:pPr>
        <w:spacing w:after="120"/>
        <w:rPr>
          <w:rFonts w:ascii="Arial" w:hAnsi="Arial" w:cs="Arial"/>
          <w:b/>
          <w:sz w:val="22"/>
          <w:szCs w:val="22"/>
        </w:rPr>
      </w:pPr>
      <w:r>
        <w:rPr>
          <w:rFonts w:ascii="Arial" w:hAnsi="Arial" w:cs="Arial"/>
          <w:b/>
          <w:sz w:val="22"/>
          <w:szCs w:val="22"/>
        </w:rPr>
        <w:t>Anregungen für den Unterricht</w:t>
      </w:r>
    </w:p>
    <w:p w:rsidR="00A76188" w:rsidRPr="00A76188" w:rsidRDefault="00A76188" w:rsidP="00A76188">
      <w:pPr>
        <w:spacing w:after="120"/>
        <w:rPr>
          <w:rFonts w:ascii="Arial" w:hAnsi="Arial" w:cs="Arial"/>
          <w:sz w:val="22"/>
          <w:szCs w:val="22"/>
        </w:rPr>
      </w:pPr>
      <w:r w:rsidRPr="00A76188">
        <w:rPr>
          <w:rFonts w:ascii="Arial" w:hAnsi="Arial" w:cs="Arial"/>
          <w:sz w:val="22"/>
          <w:szCs w:val="22"/>
        </w:rPr>
        <w:t xml:space="preserve">Die Informationsentnahme kann durch Markieren der wichtigen Aspekte erleichtert werden. Von großer Bedeutung ist das Wiedergeben des wesentlichen Inhaltes mit eigenen Worten. Hier bemerkt die Lehrkraft bereits Stärken und Schwächen. Es ist ratsam, mit einem geringen Textumfang und wenig Informationen zu beginnen. Den Kindern sollte man jede Verbesserung bewusst machen. Dann kann der Schwierigkeitsgrad langsam gesteigert werden. </w:t>
      </w:r>
    </w:p>
    <w:p w:rsidR="00A76188" w:rsidRPr="00A76188" w:rsidRDefault="00A76188" w:rsidP="00A76188">
      <w:pPr>
        <w:spacing w:after="120"/>
        <w:rPr>
          <w:rFonts w:ascii="Arial" w:hAnsi="Arial" w:cs="Arial"/>
          <w:sz w:val="22"/>
          <w:szCs w:val="22"/>
        </w:rPr>
      </w:pPr>
      <w:r w:rsidRPr="00A76188">
        <w:rPr>
          <w:rFonts w:ascii="Arial" w:hAnsi="Arial" w:cs="Arial"/>
          <w:sz w:val="22"/>
          <w:szCs w:val="22"/>
        </w:rPr>
        <w:lastRenderedPageBreak/>
        <w:t>Feste Strukturen durch Hilfsgerüste können die Lernenden ggf. beim Lösen ähnlicher Aufgaben unterstützen. Ein solches Hilfsgerüst könnte diese Aspekte (zumindest teilweise) umfassen:</w:t>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Markiere wichtige Informationen.</w:t>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Prüfe, ob du alle Informationen benötigst.</w:t>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Was weißt du bereits von der Aufgabe? Du kannst es dir notieren.</w:t>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Was musst du noch wissen? Sprich darüber oder schreibe es dir auf.</w:t>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Notiere die Aufgabe, die du zuerst rechnen willst.</w:t>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Notiere die nächste Rechnung.</w:t>
      </w:r>
      <w:r w:rsidRPr="00A76188">
        <w:rPr>
          <w:rFonts w:ascii="Arial" w:hAnsi="Arial" w:cs="Arial"/>
          <w:sz w:val="22"/>
          <w:szCs w:val="22"/>
        </w:rPr>
        <w:tab/>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Überlege, ob und wie du weiterrechnen musst.</w:t>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Benutze deine Lösung zur Kontrolle und stelle fest, ob sie korrekt sein kann.</w:t>
      </w:r>
    </w:p>
    <w:p w:rsid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Wenn nötig, beginne von vorn.</w:t>
      </w:r>
    </w:p>
    <w:p w:rsidR="00A76188" w:rsidRPr="00A76188" w:rsidRDefault="00A76188" w:rsidP="00A76188">
      <w:pPr>
        <w:pStyle w:val="Listenabsatz"/>
        <w:numPr>
          <w:ilvl w:val="0"/>
          <w:numId w:val="3"/>
        </w:numPr>
        <w:spacing w:after="120"/>
        <w:rPr>
          <w:rFonts w:ascii="Arial" w:hAnsi="Arial" w:cs="Arial"/>
          <w:sz w:val="22"/>
          <w:szCs w:val="22"/>
        </w:rPr>
      </w:pPr>
      <w:r w:rsidRPr="00A76188">
        <w:rPr>
          <w:rFonts w:ascii="Arial" w:hAnsi="Arial" w:cs="Arial"/>
          <w:sz w:val="22"/>
          <w:szCs w:val="22"/>
        </w:rPr>
        <w:t>Schreibe das gültige Ergebnis auf.</w:t>
      </w:r>
    </w:p>
    <w:p w:rsidR="00116B28" w:rsidRPr="00A76188" w:rsidRDefault="00A76188" w:rsidP="00A76188">
      <w:pPr>
        <w:spacing w:after="120"/>
        <w:rPr>
          <w:rFonts w:ascii="Arial" w:hAnsi="Arial" w:cs="Arial"/>
          <w:sz w:val="22"/>
          <w:szCs w:val="22"/>
        </w:rPr>
      </w:pPr>
      <w:r w:rsidRPr="00A76188">
        <w:rPr>
          <w:rFonts w:ascii="Arial" w:hAnsi="Arial" w:cs="Arial"/>
          <w:sz w:val="22"/>
          <w:szCs w:val="22"/>
        </w:rPr>
        <w:t>Diese Hilfen sollten für die Lernenden entsprechend ihrer Stärken und Schwächen angepasst werden. Für Leistungsschwache empfiehlt sich ein handlungsorientiertes Hilfsgerüst. Die Lehrkraft muss deshalb sehr genau analysieren, welche Kompetenzen die Kinder bereits besitzen bzw. an welcher Stelle Fehler gemacht worden sind.</w:t>
      </w:r>
    </w:p>
    <w:sectPr w:rsidR="00116B28" w:rsidRPr="00A761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188" w:rsidRDefault="00A76188" w:rsidP="00A76188">
      <w:r>
        <w:separator/>
      </w:r>
    </w:p>
  </w:endnote>
  <w:endnote w:type="continuationSeparator" w:id="0">
    <w:p w:rsidR="00A76188" w:rsidRDefault="00A76188" w:rsidP="00A7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88" w:rsidRDefault="00A761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88" w:rsidRDefault="00A7618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88" w:rsidRDefault="00A761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188" w:rsidRDefault="00A76188" w:rsidP="00A76188">
      <w:r>
        <w:separator/>
      </w:r>
    </w:p>
  </w:footnote>
  <w:footnote w:type="continuationSeparator" w:id="0">
    <w:p w:rsidR="00A76188" w:rsidRDefault="00A76188" w:rsidP="00A7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88" w:rsidRDefault="00A761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88" w:rsidRDefault="00A76188">
    <w:pPr>
      <w:pStyle w:val="Kopfzeile"/>
    </w:pPr>
    <w:r>
      <w:rPr>
        <w:noProof/>
      </w:rPr>
      <w:drawing>
        <wp:inline distT="0" distB="0" distL="0" distR="0" wp14:anchorId="5CFE2C91" wp14:editId="16E2E78F">
          <wp:extent cx="4105275" cy="269875"/>
          <wp:effectExtent l="0" t="0" r="9525" b="0"/>
          <wp:docPr id="4" name="Grafik 4" descr="Beschreibung: Kopf"/>
          <wp:cNvGraphicFramePr/>
          <a:graphic xmlns:a="http://schemas.openxmlformats.org/drawingml/2006/main">
            <a:graphicData uri="http://schemas.openxmlformats.org/drawingml/2006/picture">
              <pic:pic xmlns:pic="http://schemas.openxmlformats.org/drawingml/2006/picture">
                <pic:nvPicPr>
                  <pic:cNvPr id="4" name="Grafik 4" descr="Beschreibung: Kopf"/>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88" w:rsidRDefault="00A761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11937"/>
    <w:multiLevelType w:val="hybridMultilevel"/>
    <w:tmpl w:val="2294FB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842DD8"/>
    <w:multiLevelType w:val="hybridMultilevel"/>
    <w:tmpl w:val="E2045CF4"/>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3"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D5D22"/>
    <w:rsid w:val="000D6068"/>
    <w:rsid w:val="000F22A1"/>
    <w:rsid w:val="00104280"/>
    <w:rsid w:val="00116B28"/>
    <w:rsid w:val="00176D67"/>
    <w:rsid w:val="0018477B"/>
    <w:rsid w:val="001865A6"/>
    <w:rsid w:val="001C09A0"/>
    <w:rsid w:val="001C20E7"/>
    <w:rsid w:val="001C55D0"/>
    <w:rsid w:val="001E6C75"/>
    <w:rsid w:val="0021671D"/>
    <w:rsid w:val="002265B7"/>
    <w:rsid w:val="00226C04"/>
    <w:rsid w:val="00250380"/>
    <w:rsid w:val="0026784F"/>
    <w:rsid w:val="002D1B6E"/>
    <w:rsid w:val="00304067"/>
    <w:rsid w:val="00304DCD"/>
    <w:rsid w:val="003A1C8B"/>
    <w:rsid w:val="003A496B"/>
    <w:rsid w:val="003C7D61"/>
    <w:rsid w:val="003D7948"/>
    <w:rsid w:val="004D1DCE"/>
    <w:rsid w:val="004F70C4"/>
    <w:rsid w:val="00566351"/>
    <w:rsid w:val="0061709D"/>
    <w:rsid w:val="00666933"/>
    <w:rsid w:val="00692E69"/>
    <w:rsid w:val="006C29B7"/>
    <w:rsid w:val="00753D68"/>
    <w:rsid w:val="00756CB3"/>
    <w:rsid w:val="007C729F"/>
    <w:rsid w:val="007D4262"/>
    <w:rsid w:val="00806273"/>
    <w:rsid w:val="008336E4"/>
    <w:rsid w:val="00837274"/>
    <w:rsid w:val="00861043"/>
    <w:rsid w:val="00871097"/>
    <w:rsid w:val="0088770C"/>
    <w:rsid w:val="009C47FB"/>
    <w:rsid w:val="009C57B3"/>
    <w:rsid w:val="009D5014"/>
    <w:rsid w:val="009E4A36"/>
    <w:rsid w:val="00A13FB9"/>
    <w:rsid w:val="00A25A42"/>
    <w:rsid w:val="00A47EC4"/>
    <w:rsid w:val="00A76188"/>
    <w:rsid w:val="00A95DDE"/>
    <w:rsid w:val="00AB17D0"/>
    <w:rsid w:val="00B8136A"/>
    <w:rsid w:val="00C2385F"/>
    <w:rsid w:val="00C7686A"/>
    <w:rsid w:val="00CE20CE"/>
    <w:rsid w:val="00CF32DF"/>
    <w:rsid w:val="00D44C7A"/>
    <w:rsid w:val="00D462AA"/>
    <w:rsid w:val="00DB54C0"/>
    <w:rsid w:val="00DE2078"/>
    <w:rsid w:val="00F0154F"/>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8CFF5"/>
  <w15:docId w15:val="{C2AC30A0-09D3-4827-BFE9-F05E4426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nhideWhenUsed/>
    <w:rsid w:val="00A76188"/>
    <w:pPr>
      <w:tabs>
        <w:tab w:val="center" w:pos="4536"/>
        <w:tab w:val="right" w:pos="9072"/>
      </w:tabs>
    </w:pPr>
  </w:style>
  <w:style w:type="character" w:customStyle="1" w:styleId="KopfzeileZchn">
    <w:name w:val="Kopfzeile Zchn"/>
    <w:basedOn w:val="Absatz-Standardschriftart"/>
    <w:link w:val="Kopfzeile"/>
    <w:rsid w:val="00A76188"/>
    <w:rPr>
      <w:sz w:val="24"/>
      <w:szCs w:val="24"/>
    </w:rPr>
  </w:style>
  <w:style w:type="paragraph" w:styleId="Fuzeile">
    <w:name w:val="footer"/>
    <w:basedOn w:val="Standard"/>
    <w:link w:val="FuzeileZchn"/>
    <w:unhideWhenUsed/>
    <w:rsid w:val="00A76188"/>
    <w:pPr>
      <w:tabs>
        <w:tab w:val="center" w:pos="4536"/>
        <w:tab w:val="right" w:pos="9072"/>
      </w:tabs>
    </w:pPr>
  </w:style>
  <w:style w:type="character" w:customStyle="1" w:styleId="FuzeileZchn">
    <w:name w:val="Fußzeile Zchn"/>
    <w:basedOn w:val="Absatz-Standardschriftart"/>
    <w:link w:val="Fuzeile"/>
    <w:rsid w:val="00A76188"/>
    <w:rPr>
      <w:sz w:val="24"/>
      <w:szCs w:val="24"/>
    </w:rPr>
  </w:style>
  <w:style w:type="paragraph" w:styleId="Listenabsatz">
    <w:name w:val="List Paragraph"/>
    <w:basedOn w:val="Standard"/>
    <w:uiPriority w:val="34"/>
    <w:qFormat/>
    <w:rsid w:val="00A76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10</cp:revision>
  <cp:lastPrinted>2007-01-11T14:25:00Z</cp:lastPrinted>
  <dcterms:created xsi:type="dcterms:W3CDTF">2020-12-23T09:34:00Z</dcterms:created>
  <dcterms:modified xsi:type="dcterms:W3CDTF">2022-02-02T14:40:00Z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