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525fe2f5d9945ef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Anzahl der Kästchen im Rechteck</w:t>
      </w:r>
    </w:p>
    <w:p>
      <w:pPr>
        <w:pStyle w:val="IQB-Teilaufgabengrafik"/>
      </w:pPr>
      <w:r>
        <w:drawing>
          <wp:inline distT="0" distB="0" distL="0" distR="0">
            <wp:extent cx="5832000" cy="2925468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8804b33450014075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92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257A5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8804b3345001407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65A0-3D61-446E-9578-FDDF711B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Lucine Madadi</dc:creator>
  <lastModifiedBy>Lucine Madadi</lastModifiedBy>
  <revision>4</revision>
  <lastPrinted>2012-12-11T10:05:00.0000000Z</lastPrinted>
  <dcterms:created xsi:type="dcterms:W3CDTF">2023-06-16T08:25:59.9718895Z</dcterms:created>
  <dcterms:modified xsi:type="dcterms:W3CDTF">2016-04-07T16:03:00.0000000Z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MaP online Aufgaben Hauptdurchgang VERA; madadluc; 16.06.2023</vt:lpwstr>
  </op:property>
</op:Properties>
</file>