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f725701621841c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Addition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Nur das 3. Kästchen wurde angekreuzt. (700)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2020-12-14T10:36:42.0745710Z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