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82" w:rsidRDefault="0093595A">
      <w:pPr>
        <w:pStyle w:val="IQB-Aufgabentitel"/>
      </w:pPr>
      <w:r>
        <w:t>Der aufmerksame Beobachter</w:t>
      </w:r>
    </w:p>
    <w:p w:rsidR="00894582" w:rsidRDefault="0093595A">
      <w:pPr>
        <w:pStyle w:val="IQB-Teilaufgabentitel"/>
      </w:pPr>
      <w:r>
        <w:t>Teilaufgabe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81"/>
      </w:tblGrid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894582" w:rsidRDefault="0093595A" w:rsidP="00F70E79">
            <w:pPr>
              <w:pStyle w:val="IQB-RSNormal"/>
            </w:pPr>
            <w:r>
              <w:t xml:space="preserve">Wörtlich oder sinngemäß: </w:t>
            </w:r>
            <w:r w:rsidR="00F70E79">
              <w:t>„</w:t>
            </w:r>
            <w:r>
              <w:t xml:space="preserve">(Er zog aus,) um sein/ein/das Kamel zu suchen. </w:t>
            </w:r>
            <w:r w:rsidR="00F70E79">
              <w:br/>
            </w:r>
            <w:proofErr w:type="gramStart"/>
            <w:r>
              <w:t>/</w:t>
            </w:r>
            <w:proofErr w:type="gramEnd"/>
            <w:r w:rsidR="00F70E79">
              <w:t xml:space="preserve"> </w:t>
            </w:r>
            <w:r>
              <w:t>weil er sein/ein/das Kamel verloren hat.</w:t>
            </w:r>
            <w:r w:rsidR="00F70E79">
              <w:t>“</w:t>
            </w:r>
          </w:p>
        </w:tc>
      </w:tr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894582" w:rsidRDefault="0093595A" w:rsidP="007B66F5">
            <w:pPr>
              <w:pStyle w:val="IQB-RSNormal"/>
            </w:pPr>
            <w:r>
              <w:t xml:space="preserve">Alle anderen Antworten, auch solche, die sich </w:t>
            </w:r>
            <w:r w:rsidR="00A01B6F">
              <w:t>auf die gesamte Kamelherde beziehen.</w:t>
            </w:r>
          </w:p>
        </w:tc>
      </w:tr>
    </w:tbl>
    <w:p w:rsidR="00894582" w:rsidRDefault="0093595A">
      <w:pPr>
        <w:pStyle w:val="IQB-Teilaufgabentitel"/>
      </w:pPr>
      <w:r>
        <w:t>Teilaufgabe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81"/>
      </w:tblGrid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894582" w:rsidRDefault="0093595A">
            <w:pPr>
              <w:pStyle w:val="IQB-RSNormal"/>
            </w:pPr>
            <w:r>
              <w:t xml:space="preserve">Im Text unterstrichen oder anderweitig markiert ist der folgende Satz: </w:t>
            </w:r>
            <w:r w:rsidR="00BB2E8C">
              <w:t>„</w:t>
            </w:r>
            <w:r>
              <w:t xml:space="preserve">Beim Grasen blieben in der Mitte immer einige Büschel der schmackhaften </w:t>
            </w:r>
            <w:r w:rsidR="00BB2E8C">
              <w:br/>
            </w:r>
            <w:r>
              <w:t>Disteln stehen.</w:t>
            </w:r>
            <w:r w:rsidR="00BB2E8C">
              <w:t>“</w:t>
            </w:r>
          </w:p>
        </w:tc>
      </w:tr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894582" w:rsidRDefault="0093595A">
            <w:pPr>
              <w:pStyle w:val="IQB-RSNormal"/>
            </w:pPr>
            <w:r>
              <w:t>Alle anderen Antworten, auch solche, bei denen mehr als die genannte Textstelle unterstrichen wurde.</w:t>
            </w:r>
          </w:p>
        </w:tc>
      </w:tr>
    </w:tbl>
    <w:p w:rsidR="00894582" w:rsidRDefault="0093595A">
      <w:pPr>
        <w:pStyle w:val="IQB-Teilaufgabentitel"/>
      </w:pPr>
      <w:r>
        <w:t>Teilaufgabe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FA7C66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79" w:type="dxa"/>
          </w:tcPr>
          <w:p w:rsidR="00894582" w:rsidRDefault="00EF2FEF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576144CE" wp14:editId="49996914">
                  <wp:extent cx="5040000" cy="1162800"/>
                  <wp:effectExtent l="0" t="0" r="0" b="0"/>
                  <wp:docPr id="1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582" w:rsidRDefault="0093595A">
      <w:pPr>
        <w:pStyle w:val="IQB-Teilaufgabentitel"/>
      </w:pPr>
      <w:r>
        <w:t>Teilaufgabe 4: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FA7C66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79" w:type="dxa"/>
          </w:tcPr>
          <w:p w:rsidR="00894582" w:rsidRDefault="005B5746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349F0E4A" wp14:editId="54F3FEEE">
                  <wp:extent cx="5040000" cy="1162800"/>
                  <wp:effectExtent l="0" t="0" r="0" b="0"/>
                  <wp:docPr id="2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582" w:rsidRDefault="0093595A">
      <w:pPr>
        <w:pStyle w:val="IQB-Teilaufgabentitel"/>
      </w:pPr>
      <w:r>
        <w:t>Teilaufgabe 5: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81"/>
      </w:tblGrid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894582" w:rsidRDefault="0093595A">
            <w:pPr>
              <w:pStyle w:val="IQB-RSNormal"/>
            </w:pPr>
            <w:r>
              <w:t>Mindestens eine der folgenden Bezeichnungen wird notiert: 1. (fremder) Mann, 2. Angeklagter, 3. Dieb</w:t>
            </w:r>
          </w:p>
        </w:tc>
      </w:tr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894582" w:rsidRDefault="0093595A">
            <w:pPr>
              <w:pStyle w:val="IQB-RSNormal"/>
            </w:pPr>
            <w:r>
              <w:t xml:space="preserve">Alle anderen Antworten, einschließlich </w:t>
            </w:r>
            <w:r w:rsidR="00896D7B">
              <w:t>„</w:t>
            </w:r>
            <w:r>
              <w:t>Jaja</w:t>
            </w:r>
            <w:r w:rsidR="00896D7B">
              <w:t>“</w:t>
            </w:r>
            <w:r>
              <w:t xml:space="preserve"> (mitunter Interpretation als Eigenname).</w:t>
            </w:r>
          </w:p>
        </w:tc>
      </w:tr>
    </w:tbl>
    <w:p w:rsidR="00894582" w:rsidRDefault="0093595A">
      <w:pPr>
        <w:pStyle w:val="IQB-Teilaufgabentitel"/>
      </w:pPr>
      <w:r>
        <w:t>Teilaufgabe 6: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371490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bookmarkStart w:id="0" w:name="_GoBack" w:colFirst="1" w:colLast="1"/>
            <w:r>
              <w:t>RICHTIG</w:t>
            </w:r>
          </w:p>
        </w:tc>
        <w:tc>
          <w:tcPr>
            <w:tcW w:w="8379" w:type="dxa"/>
          </w:tcPr>
          <w:p w:rsidR="00894582" w:rsidRDefault="005B5746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03AC5021" wp14:editId="048ABC5D">
                  <wp:extent cx="5040000" cy="1162800"/>
                  <wp:effectExtent l="0" t="0" r="0" b="0"/>
                  <wp:docPr id="3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16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894582" w:rsidRDefault="0093595A">
      <w:pPr>
        <w:pStyle w:val="IQB-Teilaufgabentitel"/>
      </w:pPr>
      <w:r>
        <w:lastRenderedPageBreak/>
        <w:t>Teilaufgabe 7: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371490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79" w:type="dxa"/>
          </w:tcPr>
          <w:p w:rsidR="00894582" w:rsidRDefault="005B5746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1F299195" wp14:editId="18C2BBCD">
                  <wp:extent cx="5040000" cy="2066400"/>
                  <wp:effectExtent l="0" t="0" r="8255" b="0"/>
                  <wp:docPr id="5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20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582" w:rsidRDefault="0093595A">
      <w:pPr>
        <w:pStyle w:val="IQB-Teilaufgabentitel"/>
      </w:pPr>
      <w:r>
        <w:t>Teilaufgabe 8: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371490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79" w:type="dxa"/>
          </w:tcPr>
          <w:p w:rsidR="00894582" w:rsidRDefault="005B5746">
            <w:pPr>
              <w:pStyle w:val="IQB-RSNormal"/>
            </w:pPr>
            <w:r>
              <w:rPr>
                <w:noProof/>
              </w:rPr>
              <w:drawing>
                <wp:inline distT="0" distB="0" distL="0" distR="0" wp14:anchorId="4B72EE18" wp14:editId="1324F8AC">
                  <wp:extent cx="5040000" cy="1987200"/>
                  <wp:effectExtent l="0" t="0" r="8255" b="0"/>
                  <wp:docPr id="6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9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582" w:rsidRDefault="0093595A">
      <w:pPr>
        <w:pStyle w:val="IQB-Teilaufgabentitel"/>
      </w:pPr>
      <w:r>
        <w:t>Teilaufgabe 9: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79"/>
      </w:tblGrid>
      <w:tr w:rsidR="00894582" w:rsidTr="00371490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79" w:type="dxa"/>
          </w:tcPr>
          <w:p w:rsidR="00894582" w:rsidRDefault="0093595A">
            <w:pPr>
              <w:pStyle w:val="IQB-RSNormal"/>
            </w:pPr>
            <w:r>
              <w:rPr>
                <w:noProof/>
              </w:rPr>
              <w:drawing>
                <wp:inline distT="0" distB="0" distL="0" distR="0">
                  <wp:extent cx="5040000" cy="1306800"/>
                  <wp:effectExtent l="0" t="0" r="0" b="0"/>
                  <wp:docPr id="7" name="Inline Text Wrapping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130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4582" w:rsidRDefault="0093595A">
      <w:pPr>
        <w:pStyle w:val="IQB-Teilaufgabentitel"/>
      </w:pPr>
      <w:r>
        <w:t>Teilaufgabe 10: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" w:space="0" w:color="auto"/>
          <w:insideV w:val="single" w:sz="1" w:space="0" w:color="auto"/>
        </w:tblBorders>
        <w:tblLook w:val="04A0" w:firstRow="1" w:lastRow="0" w:firstColumn="1" w:lastColumn="0" w:noHBand="0" w:noVBand="1"/>
      </w:tblPr>
      <w:tblGrid>
        <w:gridCol w:w="1247"/>
        <w:gridCol w:w="8381"/>
      </w:tblGrid>
      <w:tr w:rsidR="00894582">
        <w:tc>
          <w:tcPr>
            <w:tcW w:w="0" w:type="dxa"/>
            <w:gridSpan w:val="2"/>
          </w:tcPr>
          <w:p w:rsidR="00894582" w:rsidRDefault="0093595A">
            <w:pPr>
              <w:pStyle w:val="IQB-RSAllgemein"/>
            </w:pPr>
            <w:r>
              <w:t xml:space="preserve">Allgemein: Die Lösung setzt voraus, dass die Schüler das ursprüngliche Problem in der Geschichte erkennen (verschwundenes Kamel) und mit dem Satz </w:t>
            </w:r>
            <w:r w:rsidR="00682B7B">
              <w:t>„</w:t>
            </w:r>
            <w:r>
              <w:t>sie gaben sich zufrieden</w:t>
            </w:r>
            <w:r w:rsidR="00682B7B">
              <w:t>“</w:t>
            </w:r>
            <w:r>
              <w:t xml:space="preserve"> in Verbindung bringen.</w:t>
            </w:r>
          </w:p>
        </w:tc>
      </w:tr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RICHTIG</w:t>
            </w:r>
          </w:p>
        </w:tc>
        <w:tc>
          <w:tcPr>
            <w:tcW w:w="8390" w:type="dxa"/>
          </w:tcPr>
          <w:p w:rsidR="00894582" w:rsidRDefault="0093595A" w:rsidP="00682B7B">
            <w:pPr>
              <w:pStyle w:val="IQB-RSNormal"/>
            </w:pPr>
            <w:r>
              <w:t>Sinngemäß: Zwar geht die Gerichtsverhandlung gut aus (die Wahrheit kommt ans Licht, niemand wird verurteilt), aber das eigentliche Problem (verschwundenes Kamel) ist nicht gelöst.</w:t>
            </w:r>
          </w:p>
        </w:tc>
      </w:tr>
      <w:tr w:rsidR="00894582">
        <w:tc>
          <w:tcPr>
            <w:tcW w:w="1247" w:type="dxa"/>
            <w:vAlign w:val="center"/>
          </w:tcPr>
          <w:p w:rsidR="00894582" w:rsidRDefault="0093595A">
            <w:pPr>
              <w:pStyle w:val="IQB-RSCodeValue"/>
            </w:pPr>
            <w:r>
              <w:t>FALSCH</w:t>
            </w:r>
          </w:p>
        </w:tc>
        <w:tc>
          <w:tcPr>
            <w:tcW w:w="8390" w:type="dxa"/>
          </w:tcPr>
          <w:p w:rsidR="00894582" w:rsidRDefault="0093595A" w:rsidP="00682B7B">
            <w:pPr>
              <w:pStyle w:val="IQB-RSNormal"/>
            </w:pPr>
            <w:r>
              <w:t xml:space="preserve">Alle anderen Antworten, auch solche, in denen die Bedeutung von </w:t>
            </w:r>
            <w:r w:rsidR="00F83657">
              <w:t>„</w:t>
            </w:r>
            <w:r>
              <w:t>sich zufriedengeben</w:t>
            </w:r>
            <w:r w:rsidR="00191A0C">
              <w:t>“</w:t>
            </w:r>
            <w:r>
              <w:t xml:space="preserve"> a</w:t>
            </w:r>
            <w:r w:rsidR="00F22196">
              <w:t>ls</w:t>
            </w:r>
            <w:r>
              <w:t xml:space="preserve"> „Happy End“ interpretiert wird und in diesem Sinne der Behauptung zugestimmt wird</w:t>
            </w:r>
            <w:r w:rsidR="00682B7B">
              <w:rPr>
                <w:rFonts w:cs="Times New Roman"/>
                <w:szCs w:val="24"/>
              </w:rPr>
              <w:t>.</w:t>
            </w:r>
          </w:p>
        </w:tc>
      </w:tr>
    </w:tbl>
    <w:p w:rsidR="00B254A4" w:rsidRDefault="00B254A4"/>
    <w:sectPr w:rsidR="00B254A4" w:rsidSect="00DB65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PC LAYOU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panose1 w:val="020B0502040000020004"/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 w15:restartNumberingAfterBreak="0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2C6B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91A0C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1490"/>
    <w:rsid w:val="00374ED9"/>
    <w:rsid w:val="003928A8"/>
    <w:rsid w:val="00397595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0544F"/>
    <w:rsid w:val="00505885"/>
    <w:rsid w:val="00540637"/>
    <w:rsid w:val="00566351"/>
    <w:rsid w:val="00590300"/>
    <w:rsid w:val="005967F1"/>
    <w:rsid w:val="005B5746"/>
    <w:rsid w:val="005E08D0"/>
    <w:rsid w:val="005E2C46"/>
    <w:rsid w:val="005F046F"/>
    <w:rsid w:val="005F3A9E"/>
    <w:rsid w:val="005F4824"/>
    <w:rsid w:val="00606926"/>
    <w:rsid w:val="0061709D"/>
    <w:rsid w:val="00666933"/>
    <w:rsid w:val="00682B7B"/>
    <w:rsid w:val="00691281"/>
    <w:rsid w:val="00692E69"/>
    <w:rsid w:val="007334E1"/>
    <w:rsid w:val="00753D68"/>
    <w:rsid w:val="007569FC"/>
    <w:rsid w:val="00756CB3"/>
    <w:rsid w:val="00761828"/>
    <w:rsid w:val="00790FB0"/>
    <w:rsid w:val="0079443A"/>
    <w:rsid w:val="007B66F5"/>
    <w:rsid w:val="007C729F"/>
    <w:rsid w:val="007D4262"/>
    <w:rsid w:val="00806273"/>
    <w:rsid w:val="008173A3"/>
    <w:rsid w:val="008336E4"/>
    <w:rsid w:val="00837274"/>
    <w:rsid w:val="0083794F"/>
    <w:rsid w:val="00861043"/>
    <w:rsid w:val="0086164B"/>
    <w:rsid w:val="00871097"/>
    <w:rsid w:val="00883561"/>
    <w:rsid w:val="0088770C"/>
    <w:rsid w:val="00894582"/>
    <w:rsid w:val="00896D7B"/>
    <w:rsid w:val="008A2154"/>
    <w:rsid w:val="008B3D42"/>
    <w:rsid w:val="008C1EC7"/>
    <w:rsid w:val="0093595A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01B6F"/>
    <w:rsid w:val="00A13FB9"/>
    <w:rsid w:val="00A2321C"/>
    <w:rsid w:val="00A25A42"/>
    <w:rsid w:val="00A40D5C"/>
    <w:rsid w:val="00A47EC4"/>
    <w:rsid w:val="00A5510B"/>
    <w:rsid w:val="00A95DDE"/>
    <w:rsid w:val="00B254A4"/>
    <w:rsid w:val="00B8136A"/>
    <w:rsid w:val="00B90D22"/>
    <w:rsid w:val="00BB2E8C"/>
    <w:rsid w:val="00BE7001"/>
    <w:rsid w:val="00C2374F"/>
    <w:rsid w:val="00C2385F"/>
    <w:rsid w:val="00C630C9"/>
    <w:rsid w:val="00C97AB9"/>
    <w:rsid w:val="00CA59FA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EF2FEF"/>
    <w:rsid w:val="00F0154F"/>
    <w:rsid w:val="00F22196"/>
    <w:rsid w:val="00F63DBE"/>
    <w:rsid w:val="00F64050"/>
    <w:rsid w:val="00F70E79"/>
    <w:rsid w:val="00F83657"/>
    <w:rsid w:val="00F865AA"/>
    <w:rsid w:val="00FA77D2"/>
    <w:rsid w:val="00FA7C66"/>
    <w:rsid w:val="00FC1BEE"/>
    <w:rsid w:val="00FD517E"/>
    <w:rsid w:val="00FE064A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3323B528-CFFC-46DB-9706-3ED902A5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DD8FF-F70E-4E77-BEFE-F2A2F3316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IQB-ItemDB: Aufgaben binden</dc:title>
  <dc:creator>Semiha Yilmaz</dc:creator>
  <cp:lastModifiedBy>Semiha Yilmaz</cp:lastModifiedBy>
  <cp:revision>8</cp:revision>
  <cp:lastPrinted>2012-12-11T10:05:00Z</cp:lastPrinted>
  <dcterms:created xsi:type="dcterms:W3CDTF">2020-06-24T13:13:00Z</dcterms:created>
  <dcterms:modified xsi:type="dcterms:W3CDTF">2020-09-02T09:29:00Z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">
    <vt:lpwstr>Erzeugt mit HUBerlin.IQB.DBCommon.Office.TasksToDocx, IQB-DBCommon, Version=1.0.2.0, Culture=neutral, PublicKeyToken=null; Konfiguration: DeP 5b Hauptstudie online Auswertungen Hauptdurchgang VERA; yilmazse; 24.06.2020</vt:lpwstr>
  </property>
</Properties>
</file>